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2FF" w:rsidRDefault="006E32FF" w:rsidP="006E32FF">
      <w:pPr>
        <w:jc w:val="both"/>
        <w:rPr>
          <w:rFonts w:ascii="Arial" w:hAnsi="Arial" w:cs="Arial"/>
          <w:b/>
          <w:sz w:val="28"/>
          <w:szCs w:val="28"/>
        </w:rPr>
      </w:pPr>
      <w:r>
        <w:rPr>
          <w:rFonts w:ascii="Arial" w:hAnsi="Arial" w:cs="Arial"/>
          <w:b/>
          <w:sz w:val="28"/>
          <w:szCs w:val="28"/>
        </w:rPr>
        <w:t xml:space="preserve">The </w:t>
      </w:r>
      <w:r w:rsidRPr="00350070">
        <w:rPr>
          <w:rFonts w:ascii="Arial" w:hAnsi="Arial" w:cs="Arial"/>
          <w:b/>
          <w:sz w:val="28"/>
          <w:szCs w:val="28"/>
        </w:rPr>
        <w:t>Post Primary</w:t>
      </w:r>
      <w:r>
        <w:rPr>
          <w:rFonts w:ascii="Arial" w:hAnsi="Arial" w:cs="Arial"/>
          <w:b/>
          <w:sz w:val="28"/>
          <w:szCs w:val="28"/>
        </w:rPr>
        <w:t xml:space="preserve"> Curriculum</w:t>
      </w:r>
    </w:p>
    <w:p w:rsidR="006E32FF" w:rsidRPr="00350070" w:rsidRDefault="006E32FF" w:rsidP="006E32FF">
      <w:pPr>
        <w:pStyle w:val="ListParagraph"/>
        <w:spacing w:after="0" w:line="240" w:lineRule="auto"/>
        <w:ind w:left="0"/>
        <w:jc w:val="both"/>
        <w:rPr>
          <w:rFonts w:ascii="Arial" w:hAnsi="Arial" w:cs="Arial"/>
          <w:b/>
          <w:sz w:val="28"/>
          <w:szCs w:val="28"/>
        </w:rPr>
      </w:pPr>
    </w:p>
    <w:p w:rsidR="006E32FF" w:rsidRPr="006E32FF" w:rsidRDefault="006E32FF" w:rsidP="006E32FF">
      <w:pPr>
        <w:pStyle w:val="ListParagraph"/>
        <w:spacing w:after="0" w:line="240" w:lineRule="auto"/>
        <w:ind w:left="0"/>
        <w:jc w:val="both"/>
        <w:rPr>
          <w:rFonts w:ascii="Arial" w:hAnsi="Arial" w:cs="Arial"/>
          <w:sz w:val="24"/>
          <w:szCs w:val="28"/>
        </w:rPr>
      </w:pPr>
      <w:r w:rsidRPr="006E32FF">
        <w:rPr>
          <w:rFonts w:ascii="Arial" w:hAnsi="Arial" w:cs="Arial"/>
          <w:sz w:val="24"/>
          <w:szCs w:val="28"/>
        </w:rPr>
        <w:t xml:space="preserve">The Curriculum at Post Primary level offers a substantial opportunity to educate in relation to the principles and aims of the Department of Education’s CRED policy and </w:t>
      </w:r>
      <w:proofErr w:type="spellStart"/>
      <w:r w:rsidRPr="006E32FF">
        <w:rPr>
          <w:rFonts w:ascii="Arial" w:hAnsi="Arial" w:cs="Arial"/>
          <w:sz w:val="24"/>
          <w:szCs w:val="28"/>
        </w:rPr>
        <w:t>outworkings</w:t>
      </w:r>
      <w:proofErr w:type="spellEnd"/>
      <w:r w:rsidRPr="006E32FF">
        <w:rPr>
          <w:rFonts w:ascii="Arial" w:hAnsi="Arial" w:cs="Arial"/>
          <w:sz w:val="24"/>
          <w:szCs w:val="28"/>
        </w:rPr>
        <w:t xml:space="preserve">.  </w:t>
      </w:r>
    </w:p>
    <w:p w:rsidR="006E32FF" w:rsidRPr="006E32FF" w:rsidRDefault="006E32FF" w:rsidP="006E32FF">
      <w:pPr>
        <w:pStyle w:val="ListParagraph"/>
        <w:spacing w:after="0" w:line="240" w:lineRule="auto"/>
        <w:ind w:left="1080" w:hanging="1080"/>
        <w:jc w:val="both"/>
        <w:rPr>
          <w:rFonts w:ascii="Arial" w:hAnsi="Arial" w:cs="Arial"/>
          <w:sz w:val="24"/>
          <w:szCs w:val="28"/>
        </w:rPr>
      </w:pPr>
    </w:p>
    <w:p w:rsidR="006E32FF" w:rsidRPr="006E32FF" w:rsidRDefault="006E32FF" w:rsidP="006E32FF">
      <w:pPr>
        <w:pStyle w:val="ListParagraph"/>
        <w:spacing w:after="0" w:line="240" w:lineRule="auto"/>
        <w:ind w:left="1080" w:hanging="1080"/>
        <w:jc w:val="both"/>
        <w:rPr>
          <w:rFonts w:ascii="Arial" w:hAnsi="Arial" w:cs="Arial"/>
          <w:sz w:val="24"/>
          <w:szCs w:val="28"/>
        </w:rPr>
      </w:pPr>
      <w:bookmarkStart w:id="0" w:name="_GoBack"/>
      <w:r w:rsidRPr="006E32FF">
        <w:rPr>
          <w:rFonts w:ascii="Arial" w:hAnsi="Arial" w:cs="Arial"/>
          <w:sz w:val="24"/>
          <w:szCs w:val="28"/>
        </w:rPr>
        <w:t>As such they may require teachers to ex</w:t>
      </w:r>
      <w:r w:rsidRPr="006E32FF">
        <w:rPr>
          <w:rFonts w:ascii="Arial" w:hAnsi="Arial" w:cs="Arial"/>
          <w:sz w:val="24"/>
          <w:szCs w:val="28"/>
        </w:rPr>
        <w:t>plore subjects and issues which</w:t>
      </w:r>
    </w:p>
    <w:p w:rsidR="006E32FF" w:rsidRPr="006E32FF" w:rsidRDefault="006E32FF" w:rsidP="006E32FF">
      <w:pPr>
        <w:pStyle w:val="ListParagraph"/>
        <w:spacing w:after="0" w:line="240" w:lineRule="auto"/>
        <w:ind w:left="1080" w:hanging="1080"/>
        <w:jc w:val="both"/>
        <w:rPr>
          <w:rFonts w:ascii="Arial" w:hAnsi="Arial" w:cs="Arial"/>
          <w:sz w:val="24"/>
          <w:szCs w:val="28"/>
        </w:rPr>
      </w:pPr>
      <w:proofErr w:type="gramStart"/>
      <w:r w:rsidRPr="006E32FF">
        <w:rPr>
          <w:rFonts w:ascii="Arial" w:hAnsi="Arial" w:cs="Arial"/>
          <w:sz w:val="24"/>
          <w:szCs w:val="28"/>
        </w:rPr>
        <w:t>are</w:t>
      </w:r>
      <w:proofErr w:type="gramEnd"/>
      <w:r w:rsidRPr="006E32FF">
        <w:rPr>
          <w:rFonts w:ascii="Arial" w:hAnsi="Arial" w:cs="Arial"/>
          <w:sz w:val="24"/>
          <w:szCs w:val="28"/>
        </w:rPr>
        <w:t xml:space="preserve"> </w:t>
      </w:r>
      <w:bookmarkEnd w:id="0"/>
      <w:r w:rsidRPr="006E32FF">
        <w:rPr>
          <w:rFonts w:ascii="Arial" w:hAnsi="Arial" w:cs="Arial"/>
          <w:sz w:val="24"/>
          <w:szCs w:val="28"/>
        </w:rPr>
        <w:t xml:space="preserve">sensitive and/or controversial.  This </w:t>
      </w:r>
      <w:r w:rsidRPr="006E32FF">
        <w:rPr>
          <w:rFonts w:ascii="Arial" w:hAnsi="Arial" w:cs="Arial"/>
          <w:sz w:val="24"/>
          <w:szCs w:val="28"/>
        </w:rPr>
        <w:t>in turn may require appropriate</w:t>
      </w:r>
    </w:p>
    <w:p w:rsidR="006E32FF" w:rsidRPr="006E32FF" w:rsidRDefault="006E32FF" w:rsidP="006E32FF">
      <w:pPr>
        <w:pStyle w:val="ListParagraph"/>
        <w:spacing w:after="0" w:line="240" w:lineRule="auto"/>
        <w:ind w:left="1080" w:hanging="1080"/>
        <w:jc w:val="both"/>
        <w:rPr>
          <w:rFonts w:ascii="Arial" w:hAnsi="Arial" w:cs="Arial"/>
          <w:sz w:val="24"/>
          <w:szCs w:val="28"/>
        </w:rPr>
      </w:pPr>
      <w:proofErr w:type="gramStart"/>
      <w:r w:rsidRPr="006E32FF">
        <w:rPr>
          <w:rFonts w:ascii="Arial" w:hAnsi="Arial" w:cs="Arial"/>
          <w:sz w:val="24"/>
          <w:szCs w:val="28"/>
        </w:rPr>
        <w:t>professional</w:t>
      </w:r>
      <w:proofErr w:type="gramEnd"/>
      <w:r w:rsidRPr="006E32FF">
        <w:rPr>
          <w:rFonts w:ascii="Arial" w:hAnsi="Arial" w:cs="Arial"/>
          <w:sz w:val="24"/>
          <w:szCs w:val="28"/>
        </w:rPr>
        <w:t xml:space="preserve"> development and personal reflection. </w:t>
      </w:r>
    </w:p>
    <w:p w:rsidR="006E32FF" w:rsidRPr="006E32FF" w:rsidRDefault="006E32FF" w:rsidP="006E32FF">
      <w:pPr>
        <w:pStyle w:val="ListParagraph"/>
        <w:spacing w:after="0" w:line="240" w:lineRule="auto"/>
        <w:ind w:left="1080" w:hanging="1080"/>
        <w:jc w:val="both"/>
        <w:rPr>
          <w:rFonts w:ascii="Arial" w:hAnsi="Arial" w:cs="Arial"/>
          <w:sz w:val="24"/>
          <w:szCs w:val="28"/>
        </w:rPr>
      </w:pPr>
    </w:p>
    <w:p w:rsidR="006E32FF" w:rsidRPr="006E32FF" w:rsidRDefault="006E32FF" w:rsidP="006E32FF">
      <w:pPr>
        <w:pStyle w:val="ListParagraph"/>
        <w:spacing w:after="0" w:line="240" w:lineRule="auto"/>
        <w:ind w:left="1080" w:hanging="1080"/>
        <w:jc w:val="both"/>
        <w:rPr>
          <w:rFonts w:ascii="Arial" w:hAnsi="Arial" w:cs="Arial"/>
          <w:sz w:val="24"/>
          <w:szCs w:val="28"/>
        </w:rPr>
      </w:pPr>
      <w:r w:rsidRPr="006E32FF">
        <w:rPr>
          <w:rFonts w:ascii="Arial" w:hAnsi="Arial" w:cs="Arial"/>
          <w:sz w:val="24"/>
          <w:szCs w:val="28"/>
        </w:rPr>
        <w:t>Appreciating always that the Curriculum is premised upon the transfer of</w:t>
      </w:r>
    </w:p>
    <w:p w:rsidR="006E32FF" w:rsidRPr="006E32FF" w:rsidRDefault="006E32FF" w:rsidP="006E32FF">
      <w:pPr>
        <w:pStyle w:val="ListParagraph"/>
        <w:spacing w:after="0" w:line="240" w:lineRule="auto"/>
        <w:ind w:left="1080" w:hanging="1080"/>
        <w:jc w:val="both"/>
        <w:rPr>
          <w:rFonts w:ascii="Arial" w:hAnsi="Arial" w:cs="Arial"/>
          <w:sz w:val="24"/>
          <w:szCs w:val="28"/>
        </w:rPr>
      </w:pPr>
      <w:proofErr w:type="gramStart"/>
      <w:r w:rsidRPr="006E32FF">
        <w:rPr>
          <w:rFonts w:ascii="Arial" w:hAnsi="Arial" w:cs="Arial"/>
          <w:sz w:val="24"/>
          <w:szCs w:val="28"/>
        </w:rPr>
        <w:t>skills</w:t>
      </w:r>
      <w:proofErr w:type="gramEnd"/>
      <w:r w:rsidRPr="006E32FF">
        <w:rPr>
          <w:rFonts w:ascii="Arial" w:hAnsi="Arial" w:cs="Arial"/>
          <w:sz w:val="24"/>
          <w:szCs w:val="28"/>
        </w:rPr>
        <w:t xml:space="preserve">, knowledge and understanding across the learning areas, this </w:t>
      </w:r>
    </w:p>
    <w:p w:rsidR="006E32FF" w:rsidRPr="006E32FF" w:rsidRDefault="006E32FF" w:rsidP="006E32FF">
      <w:pPr>
        <w:pStyle w:val="ListParagraph"/>
        <w:spacing w:after="0" w:line="240" w:lineRule="auto"/>
        <w:ind w:left="0"/>
        <w:jc w:val="both"/>
        <w:rPr>
          <w:rFonts w:ascii="Arial" w:hAnsi="Arial" w:cs="Arial"/>
          <w:sz w:val="24"/>
          <w:szCs w:val="28"/>
        </w:rPr>
      </w:pPr>
      <w:proofErr w:type="gramStart"/>
      <w:r w:rsidRPr="006E32FF">
        <w:rPr>
          <w:rFonts w:ascii="Arial" w:hAnsi="Arial" w:cs="Arial"/>
          <w:sz w:val="24"/>
          <w:szCs w:val="28"/>
        </w:rPr>
        <w:t>initially</w:t>
      </w:r>
      <w:proofErr w:type="gramEnd"/>
      <w:r w:rsidRPr="006E32FF">
        <w:rPr>
          <w:rFonts w:ascii="Arial" w:hAnsi="Arial" w:cs="Arial"/>
          <w:sz w:val="24"/>
          <w:szCs w:val="28"/>
        </w:rPr>
        <w:t xml:space="preserve"> may be reflected in the content or potential content of the following:</w:t>
      </w:r>
    </w:p>
    <w:p w:rsidR="006E32FF" w:rsidRDefault="006E32FF" w:rsidP="006E32FF">
      <w:pPr>
        <w:pStyle w:val="ListParagraph"/>
        <w:spacing w:after="0" w:line="240" w:lineRule="auto"/>
        <w:ind w:left="0"/>
        <w:jc w:val="both"/>
        <w:rPr>
          <w:rFonts w:ascii="Arial" w:hAnsi="Arial" w:cs="Arial"/>
          <w:sz w:val="28"/>
          <w:szCs w:val="28"/>
        </w:rPr>
      </w:pPr>
    </w:p>
    <w:tbl>
      <w:tblPr>
        <w:tblStyle w:val="TableGrid"/>
        <w:tblW w:w="5000" w:type="pct"/>
        <w:shd w:val="clear" w:color="auto" w:fill="CCECFF"/>
        <w:tblLook w:val="01E0" w:firstRow="1" w:lastRow="1" w:firstColumn="1" w:lastColumn="1" w:noHBand="0" w:noVBand="0"/>
      </w:tblPr>
      <w:tblGrid>
        <w:gridCol w:w="2461"/>
        <w:gridCol w:w="18"/>
        <w:gridCol w:w="6763"/>
      </w:tblGrid>
      <w:tr w:rsidR="006E32FF" w:rsidRPr="006E32FF" w:rsidTr="006E32FF">
        <w:tc>
          <w:tcPr>
            <w:tcW w:w="1341" w:type="pct"/>
            <w:gridSpan w:val="2"/>
            <w:shd w:val="clear" w:color="auto" w:fill="C6D9F1" w:themeFill="text2" w:themeFillTint="33"/>
          </w:tcPr>
          <w:p w:rsidR="006E32FF" w:rsidRPr="006E32FF" w:rsidRDefault="006E32FF" w:rsidP="006E32FF">
            <w:pPr>
              <w:contextualSpacing/>
              <w:rPr>
                <w:rFonts w:ascii="Arial" w:hAnsi="Arial" w:cs="Arial"/>
                <w:b/>
                <w:lang w:val="en-US" w:eastAsia="en-US"/>
              </w:rPr>
            </w:pPr>
            <w:r w:rsidRPr="006E32FF">
              <w:rPr>
                <w:rFonts w:ascii="Arial" w:hAnsi="Arial" w:cs="Arial"/>
                <w:b/>
                <w:lang w:val="en-US" w:eastAsia="en-US"/>
              </w:rPr>
              <w:t>Subject</w:t>
            </w:r>
          </w:p>
        </w:tc>
        <w:tc>
          <w:tcPr>
            <w:tcW w:w="3659" w:type="pct"/>
            <w:shd w:val="clear" w:color="auto" w:fill="FFFFFF" w:themeFill="background1"/>
          </w:tcPr>
          <w:p w:rsidR="006E32FF" w:rsidRDefault="006E32FF" w:rsidP="006E32FF">
            <w:pPr>
              <w:contextualSpacing/>
              <w:rPr>
                <w:rFonts w:ascii="Arial" w:hAnsi="Arial" w:cs="Arial"/>
                <w:b/>
                <w:lang w:val="en-US" w:eastAsia="en-US"/>
              </w:rPr>
            </w:pPr>
            <w:r w:rsidRPr="006E32FF">
              <w:rPr>
                <w:rFonts w:ascii="Arial" w:hAnsi="Arial" w:cs="Arial"/>
                <w:b/>
                <w:lang w:val="en-US" w:eastAsia="en-US"/>
              </w:rPr>
              <w:t>Content</w:t>
            </w:r>
          </w:p>
          <w:p w:rsidR="006E32FF" w:rsidRPr="006E32FF" w:rsidRDefault="006E32FF" w:rsidP="006E32FF">
            <w:pPr>
              <w:contextualSpacing/>
              <w:rPr>
                <w:rFonts w:ascii="Arial" w:hAnsi="Arial" w:cs="Arial"/>
                <w:b/>
                <w:lang w:val="en-US" w:eastAsia="en-US"/>
              </w:rPr>
            </w:pPr>
          </w:p>
        </w:tc>
      </w:tr>
      <w:tr w:rsidR="006E32FF" w:rsidRPr="006E32FF" w:rsidTr="006E32FF">
        <w:tc>
          <w:tcPr>
            <w:tcW w:w="1341" w:type="pct"/>
            <w:gridSpan w:val="2"/>
            <w:shd w:val="clear" w:color="auto" w:fill="C6D9F1" w:themeFill="text2" w:themeFillTint="33"/>
          </w:tcPr>
          <w:p w:rsidR="006E32FF" w:rsidRPr="006E32FF" w:rsidRDefault="006E32FF" w:rsidP="006E32FF">
            <w:pPr>
              <w:contextualSpacing/>
              <w:rPr>
                <w:rFonts w:ascii="Arial" w:hAnsi="Arial" w:cs="Arial"/>
                <w:lang w:val="en-US" w:eastAsia="en-US"/>
              </w:rPr>
            </w:pPr>
            <w:r w:rsidRPr="006E32FF">
              <w:rPr>
                <w:rFonts w:ascii="Arial" w:hAnsi="Arial" w:cs="Arial"/>
                <w:lang w:val="en-US" w:eastAsia="en-US"/>
              </w:rPr>
              <w:t>Learning for Life and Work (comprised of four strands, two of which are directly relevant)</w:t>
            </w:r>
          </w:p>
        </w:tc>
        <w:tc>
          <w:tcPr>
            <w:tcW w:w="3659" w:type="pct"/>
            <w:shd w:val="clear" w:color="auto" w:fill="FFFFFF" w:themeFill="background1"/>
          </w:tcPr>
          <w:p w:rsidR="006E32FF" w:rsidRPr="006E32FF" w:rsidRDefault="006E32FF" w:rsidP="006E32FF">
            <w:pPr>
              <w:ind w:left="54"/>
              <w:contextualSpacing/>
              <w:rPr>
                <w:rFonts w:ascii="Arial" w:hAnsi="Arial" w:cs="Arial"/>
                <w:lang w:val="en-US" w:eastAsia="en-US"/>
              </w:rPr>
            </w:pPr>
            <w:r w:rsidRPr="006E32FF">
              <w:rPr>
                <w:rFonts w:ascii="Arial" w:hAnsi="Arial" w:cs="Arial"/>
                <w:u w:val="single"/>
                <w:lang w:val="en-US" w:eastAsia="en-US"/>
              </w:rPr>
              <w:t>Local and Global Citizenship</w:t>
            </w:r>
            <w:r w:rsidRPr="006E32FF">
              <w:rPr>
                <w:rFonts w:ascii="Arial" w:hAnsi="Arial" w:cs="Arial"/>
                <w:lang w:val="en-US" w:eastAsia="en-US"/>
              </w:rPr>
              <w:t xml:space="preserve">: at Key Stage 3, specific reference is made to addressing Community Relations and Diversity issues. It is important that an appropriate proportion of this is related to the historic conflict in </w:t>
            </w:r>
            <w:smartTag w:uri="urn:schemas-microsoft-com:office:smarttags" w:element="place">
              <w:smartTag w:uri="urn:schemas-microsoft-com:office:smarttags" w:element="country-region">
                <w:r w:rsidRPr="006E32FF">
                  <w:rPr>
                    <w:rFonts w:ascii="Arial" w:hAnsi="Arial" w:cs="Arial"/>
                    <w:lang w:val="en-US" w:eastAsia="en-US"/>
                  </w:rPr>
                  <w:t>Northern Ireland</w:t>
                </w:r>
              </w:smartTag>
            </w:smartTag>
            <w:r w:rsidRPr="006E32FF">
              <w:rPr>
                <w:rFonts w:ascii="Arial" w:hAnsi="Arial" w:cs="Arial"/>
                <w:lang w:val="en-US" w:eastAsia="en-US"/>
              </w:rPr>
              <w:t xml:space="preserve"> and the knowledge, skills and values which allow our young people to live in a post conflict society where appreciation of diversity is an important part of their overall education.</w:t>
            </w:r>
          </w:p>
          <w:p w:rsidR="006E32FF" w:rsidRPr="006E32FF" w:rsidRDefault="006E32FF" w:rsidP="006E32FF">
            <w:pPr>
              <w:ind w:left="54"/>
              <w:contextualSpacing/>
              <w:rPr>
                <w:rFonts w:ascii="Arial" w:hAnsi="Arial" w:cs="Arial"/>
                <w:lang w:val="en-US" w:eastAsia="en-US"/>
              </w:rPr>
            </w:pPr>
          </w:p>
          <w:p w:rsidR="006E32FF" w:rsidRPr="006E32FF" w:rsidRDefault="006E32FF" w:rsidP="006E32FF">
            <w:pPr>
              <w:ind w:left="54"/>
              <w:contextualSpacing/>
              <w:rPr>
                <w:rFonts w:ascii="Arial" w:hAnsi="Arial" w:cs="Arial"/>
                <w:lang w:val="en-US" w:eastAsia="en-US"/>
              </w:rPr>
            </w:pPr>
            <w:r w:rsidRPr="006E32FF">
              <w:rPr>
                <w:rFonts w:ascii="Arial" w:hAnsi="Arial" w:cs="Arial"/>
                <w:lang w:val="en-US" w:eastAsia="en-US"/>
              </w:rPr>
              <w:t xml:space="preserve">Moreover, Local and Global Citizenship at Key Stage 3 </w:t>
            </w:r>
            <w:proofErr w:type="gramStart"/>
            <w:r w:rsidRPr="006E32FF">
              <w:rPr>
                <w:rFonts w:ascii="Arial" w:hAnsi="Arial" w:cs="Arial"/>
                <w:lang w:val="en-US" w:eastAsia="en-US"/>
              </w:rPr>
              <w:t>is</w:t>
            </w:r>
            <w:proofErr w:type="gramEnd"/>
            <w:r w:rsidRPr="006E32FF">
              <w:rPr>
                <w:rFonts w:ascii="Arial" w:hAnsi="Arial" w:cs="Arial"/>
                <w:lang w:val="en-US" w:eastAsia="en-US"/>
              </w:rPr>
              <w:t xml:space="preserve"> underpinned by and requiring of specific knowledge of Human Rights education and equality principles.</w:t>
            </w:r>
          </w:p>
          <w:p w:rsidR="006E32FF" w:rsidRPr="006E32FF" w:rsidRDefault="006E32FF" w:rsidP="006E32FF">
            <w:pPr>
              <w:ind w:left="54"/>
              <w:contextualSpacing/>
              <w:rPr>
                <w:rFonts w:ascii="Arial" w:hAnsi="Arial" w:cs="Arial"/>
                <w:lang w:val="en-US" w:eastAsia="en-US"/>
              </w:rPr>
            </w:pPr>
          </w:p>
          <w:p w:rsidR="006E32FF" w:rsidRPr="006E32FF" w:rsidRDefault="006E32FF" w:rsidP="006E32FF">
            <w:pPr>
              <w:ind w:left="54"/>
              <w:contextualSpacing/>
              <w:rPr>
                <w:rFonts w:ascii="Arial" w:hAnsi="Arial" w:cs="Arial"/>
                <w:lang w:val="en-US" w:eastAsia="en-US"/>
              </w:rPr>
            </w:pPr>
            <w:r w:rsidRPr="006E32FF">
              <w:rPr>
                <w:rFonts w:ascii="Arial" w:hAnsi="Arial" w:cs="Arial"/>
                <w:u w:val="single"/>
                <w:lang w:val="en-US" w:eastAsia="en-US"/>
              </w:rPr>
              <w:t>Personal development</w:t>
            </w:r>
            <w:r w:rsidRPr="006E32FF">
              <w:rPr>
                <w:rFonts w:ascii="Arial" w:hAnsi="Arial" w:cs="Arial"/>
                <w:lang w:val="en-US" w:eastAsia="en-US"/>
              </w:rPr>
              <w:t>: This can contribute to personal and social education, including dealing with the emotional responses relevant to living in a diverse post conflict society.</w:t>
            </w:r>
          </w:p>
          <w:p w:rsidR="006E32FF" w:rsidRPr="006E32FF" w:rsidRDefault="006E32FF" w:rsidP="006E32FF">
            <w:pPr>
              <w:ind w:left="54"/>
              <w:contextualSpacing/>
              <w:rPr>
                <w:rFonts w:ascii="Arial" w:hAnsi="Arial" w:cs="Arial"/>
                <w:lang w:val="en-US" w:eastAsia="en-US"/>
              </w:rPr>
            </w:pPr>
          </w:p>
        </w:tc>
      </w:tr>
      <w:tr w:rsidR="006E32FF" w:rsidRPr="006E32FF" w:rsidTr="006E32FF">
        <w:tc>
          <w:tcPr>
            <w:tcW w:w="1341" w:type="pct"/>
            <w:gridSpan w:val="2"/>
            <w:shd w:val="clear" w:color="auto" w:fill="C6D9F1" w:themeFill="text2" w:themeFillTint="33"/>
          </w:tcPr>
          <w:p w:rsidR="006E32FF" w:rsidRPr="006E32FF" w:rsidRDefault="006E32FF" w:rsidP="006E32FF">
            <w:pPr>
              <w:contextualSpacing/>
              <w:rPr>
                <w:rFonts w:ascii="Arial" w:hAnsi="Arial" w:cs="Arial"/>
                <w:lang w:val="en-US" w:eastAsia="en-US"/>
              </w:rPr>
            </w:pPr>
            <w:r w:rsidRPr="006E32FF">
              <w:rPr>
                <w:rFonts w:ascii="Arial" w:hAnsi="Arial" w:cs="Arial"/>
                <w:lang w:val="en-US" w:eastAsia="en-US"/>
              </w:rPr>
              <w:t>Environment and Society</w:t>
            </w:r>
          </w:p>
          <w:p w:rsidR="006E32FF" w:rsidRPr="006E32FF" w:rsidRDefault="006E32FF" w:rsidP="006E32FF">
            <w:pPr>
              <w:contextualSpacing/>
              <w:rPr>
                <w:rFonts w:ascii="Arial" w:hAnsi="Arial" w:cs="Arial"/>
                <w:lang w:val="en-US" w:eastAsia="en-US"/>
              </w:rPr>
            </w:pPr>
          </w:p>
        </w:tc>
        <w:tc>
          <w:tcPr>
            <w:tcW w:w="3659" w:type="pct"/>
            <w:shd w:val="clear" w:color="auto" w:fill="FFFFFF" w:themeFill="background1"/>
          </w:tcPr>
          <w:p w:rsidR="006E32FF" w:rsidRPr="006E32FF" w:rsidRDefault="006E32FF" w:rsidP="006E32FF">
            <w:pPr>
              <w:ind w:left="54"/>
              <w:contextualSpacing/>
              <w:rPr>
                <w:rFonts w:ascii="Arial" w:hAnsi="Arial" w:cs="Arial"/>
                <w:lang w:val="en-US" w:eastAsia="en-US"/>
              </w:rPr>
            </w:pPr>
            <w:r w:rsidRPr="006E32FF">
              <w:rPr>
                <w:rFonts w:ascii="Arial" w:hAnsi="Arial" w:cs="Arial"/>
                <w:u w:val="single"/>
                <w:lang w:val="en-US" w:eastAsia="en-US"/>
              </w:rPr>
              <w:t>History</w:t>
            </w:r>
            <w:r w:rsidRPr="006E32FF">
              <w:rPr>
                <w:rFonts w:ascii="Arial" w:hAnsi="Arial" w:cs="Arial"/>
                <w:lang w:val="en-US" w:eastAsia="en-US"/>
              </w:rPr>
              <w:t>: At Key Stage 3 there is a specific requirement to deal with the causes and consequences of Irish Partition.  This provides a unique opportunity to explore the complexity of Irish history and how differing perspectives and traditions have emerged which have over time conflicted with varying degrees of trauma resulting. A balanced and well informed view of such events is clearly a key element in providing an educational dimension to the overall solution of resolving such issues.</w:t>
            </w:r>
          </w:p>
          <w:p w:rsidR="006E32FF" w:rsidRPr="006E32FF" w:rsidRDefault="006E32FF" w:rsidP="006E32FF">
            <w:pPr>
              <w:ind w:left="54"/>
              <w:contextualSpacing/>
              <w:rPr>
                <w:rFonts w:ascii="Arial" w:hAnsi="Arial" w:cs="Arial"/>
                <w:lang w:val="en-US" w:eastAsia="en-US"/>
              </w:rPr>
            </w:pPr>
          </w:p>
        </w:tc>
      </w:tr>
      <w:tr w:rsidR="006E32FF" w:rsidRPr="006E32FF" w:rsidTr="006E32FF">
        <w:tc>
          <w:tcPr>
            <w:tcW w:w="1341" w:type="pct"/>
            <w:gridSpan w:val="2"/>
            <w:shd w:val="clear" w:color="auto" w:fill="C6D9F1" w:themeFill="text2" w:themeFillTint="33"/>
          </w:tcPr>
          <w:p w:rsidR="006E32FF" w:rsidRPr="006E32FF" w:rsidRDefault="006E32FF" w:rsidP="006E32FF">
            <w:pPr>
              <w:contextualSpacing/>
              <w:rPr>
                <w:rFonts w:ascii="Arial" w:hAnsi="Arial" w:cs="Arial"/>
                <w:lang w:val="en-US" w:eastAsia="en-US"/>
              </w:rPr>
            </w:pPr>
            <w:r w:rsidRPr="006E32FF">
              <w:rPr>
                <w:rFonts w:ascii="Arial" w:hAnsi="Arial" w:cs="Arial"/>
                <w:lang w:val="en-US" w:eastAsia="en-US"/>
              </w:rPr>
              <w:t>Language and Literacy</w:t>
            </w:r>
          </w:p>
        </w:tc>
        <w:tc>
          <w:tcPr>
            <w:tcW w:w="3659" w:type="pct"/>
            <w:shd w:val="clear" w:color="auto" w:fill="FFFFFF" w:themeFill="background1"/>
          </w:tcPr>
          <w:p w:rsidR="006E32FF" w:rsidRPr="006E32FF" w:rsidRDefault="006E32FF" w:rsidP="006E32FF">
            <w:pPr>
              <w:ind w:left="54"/>
              <w:contextualSpacing/>
              <w:rPr>
                <w:rFonts w:ascii="Arial" w:hAnsi="Arial" w:cs="Arial"/>
                <w:lang w:val="en-US" w:eastAsia="en-US"/>
              </w:rPr>
            </w:pPr>
            <w:r w:rsidRPr="006E32FF">
              <w:rPr>
                <w:rFonts w:ascii="Arial" w:hAnsi="Arial" w:cs="Arial"/>
                <w:u w:val="single"/>
                <w:lang w:val="en-US" w:eastAsia="en-US"/>
              </w:rPr>
              <w:t>English / English Literature:</w:t>
            </w:r>
            <w:r w:rsidRPr="006E32FF">
              <w:rPr>
                <w:rFonts w:ascii="Arial" w:hAnsi="Arial" w:cs="Arial"/>
                <w:lang w:val="en-US" w:eastAsia="en-US"/>
              </w:rPr>
              <w:t xml:space="preserve"> Throughout post primary education, use of specific texts, both factual and fictional can provide a significant element in allowing young people to engage with their culture, the culture of others and how such life experiences have developed historically and in the present day.</w:t>
            </w:r>
          </w:p>
          <w:p w:rsidR="006E32FF" w:rsidRPr="006E32FF" w:rsidRDefault="006E32FF" w:rsidP="006E32FF">
            <w:pPr>
              <w:ind w:left="54"/>
              <w:contextualSpacing/>
              <w:rPr>
                <w:rFonts w:ascii="Arial" w:hAnsi="Arial" w:cs="Arial"/>
                <w:lang w:val="en-US" w:eastAsia="en-US"/>
              </w:rPr>
            </w:pPr>
          </w:p>
          <w:p w:rsidR="006E32FF" w:rsidRPr="006E32FF" w:rsidRDefault="006E32FF" w:rsidP="006E32FF">
            <w:pPr>
              <w:ind w:left="54"/>
              <w:contextualSpacing/>
              <w:rPr>
                <w:rFonts w:ascii="Arial" w:hAnsi="Arial" w:cs="Arial"/>
                <w:lang w:val="en-US" w:eastAsia="en-US"/>
              </w:rPr>
            </w:pPr>
            <w:r w:rsidRPr="006E32FF">
              <w:rPr>
                <w:rFonts w:ascii="Arial" w:hAnsi="Arial" w:cs="Arial"/>
                <w:lang w:val="en-US" w:eastAsia="en-US"/>
              </w:rPr>
              <w:lastRenderedPageBreak/>
              <w:t>Moreover composition and free writing by young people may enable them to explore similar themes while at the same time allowing them to express their own opinions and perspectives.</w:t>
            </w:r>
          </w:p>
          <w:p w:rsidR="006E32FF" w:rsidRPr="006E32FF" w:rsidRDefault="006E32FF" w:rsidP="006E32FF">
            <w:pPr>
              <w:ind w:left="54"/>
              <w:contextualSpacing/>
              <w:rPr>
                <w:rFonts w:ascii="Arial" w:hAnsi="Arial" w:cs="Arial"/>
                <w:lang w:val="en-US" w:eastAsia="en-US"/>
              </w:rPr>
            </w:pPr>
          </w:p>
        </w:tc>
      </w:tr>
      <w:tr w:rsidR="006E32FF" w:rsidRPr="006E32FF" w:rsidTr="006E32FF">
        <w:tc>
          <w:tcPr>
            <w:tcW w:w="1331" w:type="pct"/>
            <w:shd w:val="clear" w:color="auto" w:fill="C6D9F1" w:themeFill="text2" w:themeFillTint="33"/>
          </w:tcPr>
          <w:p w:rsidR="006E32FF" w:rsidRPr="006E32FF" w:rsidRDefault="006E32FF" w:rsidP="006E32FF">
            <w:pPr>
              <w:contextualSpacing/>
              <w:rPr>
                <w:rFonts w:ascii="Arial" w:hAnsi="Arial" w:cs="Arial"/>
                <w:sz w:val="28"/>
                <w:szCs w:val="28"/>
                <w:lang w:val="en-US" w:eastAsia="en-US"/>
              </w:rPr>
            </w:pPr>
            <w:r w:rsidRPr="006E32FF">
              <w:rPr>
                <w:rFonts w:ascii="Arial" w:hAnsi="Arial" w:cs="Arial"/>
                <w:lang w:val="en-US" w:eastAsia="en-US"/>
              </w:rPr>
              <w:lastRenderedPageBreak/>
              <w:t>Religious Education</w:t>
            </w:r>
          </w:p>
        </w:tc>
        <w:tc>
          <w:tcPr>
            <w:tcW w:w="3669" w:type="pct"/>
            <w:gridSpan w:val="2"/>
            <w:shd w:val="clear" w:color="auto" w:fill="FFFFFF" w:themeFill="background1"/>
          </w:tcPr>
          <w:p w:rsidR="006E32FF" w:rsidRPr="006E32FF" w:rsidRDefault="006E32FF" w:rsidP="006E32FF">
            <w:pPr>
              <w:ind w:left="133"/>
              <w:contextualSpacing/>
              <w:rPr>
                <w:rFonts w:ascii="Arial" w:hAnsi="Arial" w:cs="Arial"/>
                <w:lang w:val="en-US" w:eastAsia="en-US"/>
              </w:rPr>
            </w:pPr>
            <w:r w:rsidRPr="006E32FF">
              <w:rPr>
                <w:rFonts w:ascii="Arial" w:hAnsi="Arial" w:cs="Arial"/>
                <w:lang w:val="en-US" w:eastAsia="en-US"/>
              </w:rPr>
              <w:t>Religion has been a key element in shaping belief, identity and culture in Irish and British society. Given the multi-faith context which almost all European peoples’ experience, a well informed and balanced religious education is clearly an important vehicle in bringing about a tolerant and mutually respectful world, both locally and globally.</w:t>
            </w:r>
          </w:p>
          <w:p w:rsidR="006E32FF" w:rsidRPr="006E32FF" w:rsidRDefault="006E32FF" w:rsidP="006E32FF">
            <w:pPr>
              <w:contextualSpacing/>
              <w:rPr>
                <w:rFonts w:ascii="Arial" w:hAnsi="Arial" w:cs="Arial"/>
                <w:sz w:val="28"/>
                <w:szCs w:val="28"/>
                <w:lang w:val="en-US" w:eastAsia="en-US"/>
              </w:rPr>
            </w:pPr>
          </w:p>
        </w:tc>
      </w:tr>
      <w:tr w:rsidR="006E32FF" w:rsidRPr="006E32FF" w:rsidTr="006E32FF">
        <w:tc>
          <w:tcPr>
            <w:tcW w:w="1331" w:type="pct"/>
            <w:shd w:val="clear" w:color="auto" w:fill="C6D9F1" w:themeFill="text2" w:themeFillTint="33"/>
          </w:tcPr>
          <w:p w:rsidR="006E32FF" w:rsidRPr="006E32FF" w:rsidRDefault="006E32FF" w:rsidP="006E32FF">
            <w:pPr>
              <w:contextualSpacing/>
              <w:rPr>
                <w:rFonts w:ascii="Arial" w:hAnsi="Arial" w:cs="Arial"/>
                <w:lang w:val="en-US" w:eastAsia="en-US"/>
              </w:rPr>
            </w:pPr>
            <w:r w:rsidRPr="006E32FF">
              <w:rPr>
                <w:rFonts w:ascii="Arial" w:hAnsi="Arial" w:cs="Arial"/>
                <w:lang w:val="en-US" w:eastAsia="en-US"/>
              </w:rPr>
              <w:t>The Arts</w:t>
            </w:r>
          </w:p>
        </w:tc>
        <w:tc>
          <w:tcPr>
            <w:tcW w:w="3669" w:type="pct"/>
            <w:gridSpan w:val="2"/>
            <w:shd w:val="clear" w:color="auto" w:fill="FFFFFF" w:themeFill="background1"/>
          </w:tcPr>
          <w:p w:rsidR="006E32FF" w:rsidRPr="006E32FF" w:rsidRDefault="006E32FF" w:rsidP="006E32FF">
            <w:pPr>
              <w:ind w:left="68"/>
              <w:contextualSpacing/>
              <w:rPr>
                <w:rFonts w:ascii="Arial" w:hAnsi="Arial" w:cs="Arial"/>
                <w:lang w:val="en-US" w:eastAsia="en-US"/>
              </w:rPr>
            </w:pPr>
            <w:r w:rsidRPr="006E32FF">
              <w:rPr>
                <w:rFonts w:ascii="Arial" w:hAnsi="Arial" w:cs="Arial"/>
                <w:lang w:val="en-US" w:eastAsia="en-US"/>
              </w:rPr>
              <w:t xml:space="preserve">The Arts, most evidently music, art and drama have long been </w:t>
            </w:r>
            <w:proofErr w:type="spellStart"/>
            <w:r w:rsidRPr="006E32FF">
              <w:rPr>
                <w:rFonts w:ascii="Arial" w:hAnsi="Arial" w:cs="Arial"/>
                <w:lang w:val="en-US" w:eastAsia="en-US"/>
              </w:rPr>
              <w:t>recognised</w:t>
            </w:r>
            <w:proofErr w:type="spellEnd"/>
            <w:r w:rsidRPr="006E32FF">
              <w:rPr>
                <w:rFonts w:ascii="Arial" w:hAnsi="Arial" w:cs="Arial"/>
                <w:lang w:val="en-US" w:eastAsia="en-US"/>
              </w:rPr>
              <w:t xml:space="preserve"> as mediums for exploration of cultures and indeed for bringing young people of differing cultures together to do so.</w:t>
            </w:r>
          </w:p>
          <w:p w:rsidR="006E32FF" w:rsidRPr="006E32FF" w:rsidRDefault="006E32FF" w:rsidP="006E32FF">
            <w:pPr>
              <w:ind w:left="133"/>
              <w:contextualSpacing/>
              <w:rPr>
                <w:rFonts w:ascii="Arial" w:hAnsi="Arial" w:cs="Arial"/>
                <w:lang w:val="en-US" w:eastAsia="en-US"/>
              </w:rPr>
            </w:pPr>
          </w:p>
        </w:tc>
      </w:tr>
      <w:tr w:rsidR="006E32FF" w:rsidRPr="006E32FF" w:rsidTr="006E32FF">
        <w:tc>
          <w:tcPr>
            <w:tcW w:w="1331" w:type="pct"/>
            <w:shd w:val="clear" w:color="auto" w:fill="C6D9F1" w:themeFill="text2" w:themeFillTint="33"/>
          </w:tcPr>
          <w:p w:rsidR="006E32FF" w:rsidRPr="006E32FF" w:rsidRDefault="006E32FF" w:rsidP="006E32FF">
            <w:pPr>
              <w:contextualSpacing/>
              <w:rPr>
                <w:rFonts w:ascii="Arial" w:hAnsi="Arial" w:cs="Arial"/>
                <w:lang w:val="en-US" w:eastAsia="en-US"/>
              </w:rPr>
            </w:pPr>
            <w:r w:rsidRPr="006E32FF">
              <w:rPr>
                <w:rFonts w:ascii="Arial" w:hAnsi="Arial" w:cs="Arial"/>
                <w:lang w:val="en-US" w:eastAsia="en-US"/>
              </w:rPr>
              <w:t>Physical Education /Sport</w:t>
            </w:r>
          </w:p>
        </w:tc>
        <w:tc>
          <w:tcPr>
            <w:tcW w:w="3669" w:type="pct"/>
            <w:gridSpan w:val="2"/>
            <w:shd w:val="clear" w:color="auto" w:fill="FFFFFF" w:themeFill="background1"/>
          </w:tcPr>
          <w:p w:rsidR="006E32FF" w:rsidRPr="006E32FF" w:rsidRDefault="006E32FF" w:rsidP="006E32FF">
            <w:pPr>
              <w:ind w:left="68"/>
              <w:contextualSpacing/>
              <w:rPr>
                <w:rFonts w:ascii="Arial" w:hAnsi="Arial" w:cs="Arial"/>
                <w:lang w:val="en-US" w:eastAsia="en-US"/>
              </w:rPr>
            </w:pPr>
            <w:r w:rsidRPr="006E32FF">
              <w:rPr>
                <w:rFonts w:ascii="Arial" w:hAnsi="Arial" w:cs="Arial"/>
                <w:lang w:val="en-US" w:eastAsia="en-US"/>
              </w:rPr>
              <w:t xml:space="preserve">In a modern world, sport has become one of the most powerful indicators of identity and culture. Potential therefore exists for schools to </w:t>
            </w:r>
            <w:proofErr w:type="spellStart"/>
            <w:r w:rsidRPr="006E32FF">
              <w:rPr>
                <w:rFonts w:ascii="Arial" w:hAnsi="Arial" w:cs="Arial"/>
                <w:lang w:val="en-US" w:eastAsia="en-US"/>
              </w:rPr>
              <w:t>familiarise</w:t>
            </w:r>
            <w:proofErr w:type="spellEnd"/>
            <w:r w:rsidRPr="006E32FF">
              <w:rPr>
                <w:rFonts w:ascii="Arial" w:hAnsi="Arial" w:cs="Arial"/>
                <w:lang w:val="en-US" w:eastAsia="en-US"/>
              </w:rPr>
              <w:t xml:space="preserve"> their young people with not only the sports with which they have traditionally been associated, but with a range of games, both local and global which may provide an enriched learning experience.</w:t>
            </w:r>
          </w:p>
          <w:p w:rsidR="006E32FF" w:rsidRPr="006E32FF" w:rsidRDefault="006E32FF" w:rsidP="006E32FF">
            <w:pPr>
              <w:ind w:left="68"/>
              <w:contextualSpacing/>
              <w:rPr>
                <w:rFonts w:ascii="Arial" w:hAnsi="Arial" w:cs="Arial"/>
                <w:lang w:val="en-US" w:eastAsia="en-US"/>
              </w:rPr>
            </w:pPr>
          </w:p>
        </w:tc>
      </w:tr>
      <w:tr w:rsidR="006E32FF" w:rsidRPr="006E32FF" w:rsidTr="006E32FF">
        <w:tc>
          <w:tcPr>
            <w:tcW w:w="1331" w:type="pct"/>
            <w:shd w:val="clear" w:color="auto" w:fill="C6D9F1" w:themeFill="text2" w:themeFillTint="33"/>
          </w:tcPr>
          <w:p w:rsidR="006E32FF" w:rsidRPr="006E32FF" w:rsidRDefault="006E32FF" w:rsidP="006E32FF">
            <w:pPr>
              <w:contextualSpacing/>
              <w:rPr>
                <w:rFonts w:ascii="Arial" w:hAnsi="Arial" w:cs="Arial"/>
                <w:lang w:val="en-US" w:eastAsia="en-US"/>
              </w:rPr>
            </w:pPr>
            <w:r w:rsidRPr="006E32FF">
              <w:rPr>
                <w:rFonts w:ascii="Arial" w:hAnsi="Arial" w:cs="Arial"/>
                <w:lang w:val="en-US" w:eastAsia="en-US"/>
              </w:rPr>
              <w:t>Languages</w:t>
            </w:r>
          </w:p>
        </w:tc>
        <w:tc>
          <w:tcPr>
            <w:tcW w:w="3669" w:type="pct"/>
            <w:gridSpan w:val="2"/>
            <w:shd w:val="clear" w:color="auto" w:fill="FFFFFF" w:themeFill="background1"/>
          </w:tcPr>
          <w:p w:rsidR="006E32FF" w:rsidRPr="006E32FF" w:rsidRDefault="006E32FF" w:rsidP="006E32FF">
            <w:pPr>
              <w:ind w:left="68"/>
              <w:rPr>
                <w:rFonts w:ascii="Arial" w:hAnsi="Arial" w:cs="Arial"/>
                <w:b/>
                <w:i/>
              </w:rPr>
            </w:pPr>
            <w:r w:rsidRPr="006E32FF">
              <w:rPr>
                <w:rFonts w:ascii="Arial" w:hAnsi="Arial" w:cs="Arial"/>
              </w:rPr>
              <w:t>Languages are an integral part of understanding the experience and culture of others, while having strong links to tradition and identity. As such, linguistic study may allow learning which embodies aspect of fostering respect, understanding and appreciation of diversity.</w:t>
            </w:r>
          </w:p>
          <w:p w:rsidR="006E32FF" w:rsidRPr="006E32FF" w:rsidRDefault="006E32FF" w:rsidP="006E32FF">
            <w:pPr>
              <w:ind w:left="68"/>
              <w:contextualSpacing/>
              <w:rPr>
                <w:rFonts w:ascii="Arial" w:hAnsi="Arial" w:cs="Arial"/>
                <w:lang w:val="en-US" w:eastAsia="en-US"/>
              </w:rPr>
            </w:pPr>
          </w:p>
        </w:tc>
      </w:tr>
    </w:tbl>
    <w:p w:rsidR="006E32FF" w:rsidRPr="00350070" w:rsidRDefault="006E32FF" w:rsidP="006E32FF">
      <w:pPr>
        <w:pStyle w:val="ListParagraph"/>
        <w:spacing w:after="0" w:line="240" w:lineRule="auto"/>
        <w:ind w:left="1080" w:hanging="1080"/>
        <w:jc w:val="both"/>
        <w:rPr>
          <w:rFonts w:ascii="Arial" w:hAnsi="Arial" w:cs="Arial"/>
          <w:sz w:val="28"/>
          <w:szCs w:val="28"/>
        </w:rPr>
      </w:pPr>
    </w:p>
    <w:p w:rsidR="00154BA4" w:rsidRDefault="00154BA4"/>
    <w:sectPr w:rsidR="00154B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2FF"/>
    <w:rsid w:val="00154BA4"/>
    <w:rsid w:val="005A28D5"/>
    <w:rsid w:val="006E3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2F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32FF"/>
    <w:pPr>
      <w:spacing w:after="200" w:line="276" w:lineRule="auto"/>
      <w:ind w:left="720"/>
      <w:contextualSpacing/>
    </w:pPr>
    <w:rPr>
      <w:rFonts w:ascii="Calibri" w:hAnsi="Calibri"/>
      <w:sz w:val="22"/>
      <w:szCs w:val="22"/>
      <w:lang w:val="en-US" w:eastAsia="en-US"/>
    </w:rPr>
  </w:style>
  <w:style w:type="table" w:styleId="TableGrid">
    <w:name w:val="Table Grid"/>
    <w:basedOn w:val="TableNormal"/>
    <w:uiPriority w:val="59"/>
    <w:rsid w:val="006E3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2F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32FF"/>
    <w:pPr>
      <w:spacing w:after="200" w:line="276" w:lineRule="auto"/>
      <w:ind w:left="720"/>
      <w:contextualSpacing/>
    </w:pPr>
    <w:rPr>
      <w:rFonts w:ascii="Calibri" w:hAnsi="Calibri"/>
      <w:sz w:val="22"/>
      <w:szCs w:val="22"/>
      <w:lang w:val="en-US" w:eastAsia="en-US"/>
    </w:rPr>
  </w:style>
  <w:style w:type="table" w:styleId="TableGrid">
    <w:name w:val="Table Grid"/>
    <w:basedOn w:val="TableNormal"/>
    <w:uiPriority w:val="59"/>
    <w:rsid w:val="006E3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Thompson</dc:creator>
  <cp:lastModifiedBy>Alison Thompson</cp:lastModifiedBy>
  <cp:revision>1</cp:revision>
  <dcterms:created xsi:type="dcterms:W3CDTF">2014-11-03T15:57:00Z</dcterms:created>
  <dcterms:modified xsi:type="dcterms:W3CDTF">2014-11-03T16:00:00Z</dcterms:modified>
</cp:coreProperties>
</file>