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DD" w:rsidRPr="009D77F7" w:rsidRDefault="009D77F7">
      <w:pPr>
        <w:rPr>
          <w:rFonts w:cstheme="minorHAnsi"/>
          <w:i/>
          <w:sz w:val="28"/>
        </w:rPr>
      </w:pPr>
      <w:r w:rsidRPr="009D77F7">
        <w:rPr>
          <w:rFonts w:cstheme="minorHAnsi"/>
          <w:i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9978250" wp14:editId="046F16FA">
            <wp:simplePos x="0" y="0"/>
            <wp:positionH relativeFrom="column">
              <wp:posOffset>414655</wp:posOffset>
            </wp:positionH>
            <wp:positionV relativeFrom="paragraph">
              <wp:posOffset>80645</wp:posOffset>
            </wp:positionV>
            <wp:extent cx="8633460" cy="4996815"/>
            <wp:effectExtent l="133350" t="76200" r="129540" b="1847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60" cy="4996815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chemeClr val="tx2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90" w:rsidRPr="009D77F7" w:rsidRDefault="006451DD">
      <w:pPr>
        <w:rPr>
          <w:rFonts w:cstheme="minorHAnsi"/>
          <w:b/>
          <w:i/>
          <w:sz w:val="28"/>
        </w:rPr>
      </w:pPr>
      <w:r w:rsidRPr="009D77F7">
        <w:rPr>
          <w:rFonts w:cstheme="minorHAnsi"/>
          <w:b/>
          <w:i/>
          <w:color w:val="1F497D" w:themeColor="text2"/>
          <w:sz w:val="28"/>
        </w:rPr>
        <w:t xml:space="preserve">The following indicators of effective </w:t>
      </w:r>
      <w:proofErr w:type="gramStart"/>
      <w:r w:rsidRPr="009D77F7">
        <w:rPr>
          <w:rFonts w:cstheme="minorHAnsi"/>
          <w:b/>
          <w:i/>
          <w:color w:val="1F497D" w:themeColor="text2"/>
          <w:sz w:val="28"/>
        </w:rPr>
        <w:t>performance,</w:t>
      </w:r>
      <w:proofErr w:type="gramEnd"/>
      <w:r w:rsidRPr="009D77F7">
        <w:rPr>
          <w:rFonts w:cstheme="minorHAnsi"/>
          <w:b/>
          <w:i/>
          <w:color w:val="1F497D" w:themeColor="text2"/>
          <w:sz w:val="28"/>
        </w:rPr>
        <w:t xml:space="preserve"> based on </w:t>
      </w:r>
      <w:proofErr w:type="spellStart"/>
      <w:r w:rsidRPr="009D77F7">
        <w:rPr>
          <w:rFonts w:cstheme="minorHAnsi"/>
          <w:b/>
          <w:i/>
          <w:color w:val="1F497D" w:themeColor="text2"/>
          <w:sz w:val="28"/>
        </w:rPr>
        <w:t>ESaGS</w:t>
      </w:r>
      <w:proofErr w:type="spellEnd"/>
      <w:r w:rsidRPr="009D77F7">
        <w:rPr>
          <w:rFonts w:cstheme="minorHAnsi"/>
          <w:b/>
          <w:i/>
          <w:color w:val="1F497D" w:themeColor="text2"/>
          <w:sz w:val="28"/>
        </w:rPr>
        <w:t xml:space="preserve"> Policy characteristics and identified in DE’s </w:t>
      </w:r>
      <w:r w:rsidR="00505390" w:rsidRPr="009D77F7">
        <w:rPr>
          <w:rFonts w:cstheme="minorHAnsi"/>
          <w:b/>
          <w:i/>
          <w:color w:val="1F497D" w:themeColor="text2"/>
          <w:sz w:val="28"/>
        </w:rPr>
        <w:t>CRED</w:t>
      </w:r>
      <w:r w:rsidRPr="009D77F7">
        <w:rPr>
          <w:rFonts w:cstheme="minorHAnsi"/>
          <w:b/>
          <w:i/>
          <w:color w:val="1F497D" w:themeColor="text2"/>
          <w:sz w:val="28"/>
        </w:rPr>
        <w:t xml:space="preserve"> Guidance </w:t>
      </w:r>
      <w:proofErr w:type="spellStart"/>
      <w:r w:rsidRPr="009D77F7">
        <w:rPr>
          <w:rFonts w:cstheme="minorHAnsi"/>
          <w:b/>
          <w:i/>
          <w:color w:val="1F497D" w:themeColor="text2"/>
          <w:sz w:val="28"/>
        </w:rPr>
        <w:t>pp</w:t>
      </w:r>
      <w:proofErr w:type="spellEnd"/>
      <w:r w:rsidRPr="009D77F7">
        <w:rPr>
          <w:rFonts w:cstheme="minorHAnsi"/>
          <w:b/>
          <w:i/>
          <w:color w:val="1F497D" w:themeColor="text2"/>
          <w:sz w:val="28"/>
        </w:rPr>
        <w:t xml:space="preserve"> 22-24. Schools may choose to use the alternative Quality Indicator Framework identified in Annex 3 of the Guidance, or alternatively, to develop their own audit tool based on </w:t>
      </w:r>
      <w:r w:rsidR="009D77F7" w:rsidRPr="009D77F7">
        <w:rPr>
          <w:rFonts w:cstheme="minorHAnsi"/>
          <w:b/>
          <w:i/>
          <w:color w:val="1F497D" w:themeColor="text2"/>
          <w:sz w:val="28"/>
        </w:rPr>
        <w:t>relevant</w:t>
      </w:r>
      <w:r w:rsidRPr="009D77F7">
        <w:rPr>
          <w:rFonts w:cstheme="minorHAnsi"/>
          <w:b/>
          <w:i/>
          <w:color w:val="1F497D" w:themeColor="text2"/>
          <w:sz w:val="28"/>
        </w:rPr>
        <w:t xml:space="preserve"> quality indicators identified in ETI’s Together Towards Improvement’.</w:t>
      </w:r>
      <w:r w:rsidR="00505390" w:rsidRPr="009D77F7">
        <w:rPr>
          <w:rFonts w:cstheme="minorHAnsi"/>
          <w:b/>
        </w:rPr>
        <w:br w:type="page"/>
      </w:r>
    </w:p>
    <w:p w:rsidR="00505390" w:rsidRPr="009D77F7" w:rsidRDefault="00505390">
      <w:pPr>
        <w:rPr>
          <w:rFonts w:cstheme="minorHAnsi"/>
          <w:b/>
          <w:sz w:val="24"/>
        </w:rPr>
      </w:pPr>
      <w:r w:rsidRPr="009D77F7">
        <w:rPr>
          <w:rFonts w:eastAsia="Times New Roman" w:cstheme="minorHAnsi"/>
          <w:b/>
          <w:color w:val="000000"/>
          <w:kern w:val="24"/>
          <w:sz w:val="28"/>
          <w:szCs w:val="26"/>
          <w:lang w:eastAsia="en-GB"/>
        </w:rPr>
        <w:lastRenderedPageBreak/>
        <w:t>Child Centred Provision</w:t>
      </w:r>
    </w:p>
    <w:tbl>
      <w:tblPr>
        <w:tblW w:w="15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4"/>
        <w:gridCol w:w="1276"/>
        <w:gridCol w:w="3969"/>
        <w:gridCol w:w="3118"/>
      </w:tblGrid>
      <w:tr w:rsidR="00505390" w:rsidRPr="009D77F7" w:rsidTr="00BD11AF">
        <w:trPr>
          <w:cantSplit/>
          <w:trHeight w:val="494"/>
          <w:tblHeader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INDICATORS OF EFFECTIVE PERFORMANCE</w:t>
            </w: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9D77F7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AREA FOR DEVELOPMENT</w:t>
            </w:r>
          </w:p>
        </w:tc>
      </w:tr>
      <w:tr w:rsidR="00505390" w:rsidRPr="009D77F7" w:rsidTr="006451DD">
        <w:trPr>
          <w:trHeight w:val="27"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Inclusion of CRED principles and aims should feature in School Development Plan.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A whole school a</w:t>
            </w:r>
            <w:r w:rsidR="006451DD"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pproach is recommended whereby </w:t>
            </w: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all staff and young people are involved in learning about CRED</w:t>
            </w:r>
            <w:r w:rsidR="006451DD"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Within the school ethos/prospectus it should be visible that there is an acceptance of difference and a valuing of diversity.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6451DD" w:rsidRPr="009D77F7" w:rsidRDefault="006451DD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9D77F7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proofErr w:type="gramStart"/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Staff recognise</w:t>
            </w:r>
            <w:proofErr w:type="gramEnd"/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 xml:space="preserve"> the importance of modelling appropriate use of language and behaviour and demonstrating this.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 school’s approach to CRED implementation reflects the needs of all children.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lastRenderedPageBreak/>
              <w:t>Schools are sensitive to and welcoming of the diverse identities of all members of the school community.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There is a commitment to involve young people in discussions and decisions.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Encourage children and young people to actively engage with other schools and other communities of different backgrounds and traditions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Schools should be aware and encouraging of deepening emotional intelligence in their relationships and view of themselves.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  <w:p w:rsidR="00505390" w:rsidRPr="009D77F7" w:rsidRDefault="00505390" w:rsidP="00505390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1267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  <w:r w:rsidRPr="009D77F7"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  <w:t>The development of a meaningful school council would be viewed as an essential part of real delivery of child centred provision including issues of rights, equality, democracy and pupil voice.</w:t>
            </w: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kern w:val="24"/>
                <w:sz w:val="26"/>
                <w:szCs w:val="26"/>
                <w:lang w:eastAsia="en-GB"/>
              </w:rPr>
            </w:pPr>
          </w:p>
          <w:p w:rsidR="00505390" w:rsidRPr="009D77F7" w:rsidRDefault="00505390" w:rsidP="006451DD">
            <w:pPr>
              <w:tabs>
                <w:tab w:val="left" w:pos="350"/>
              </w:tabs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tabs>
                <w:tab w:val="left" w:pos="350"/>
              </w:tabs>
              <w:spacing w:after="0" w:line="240" w:lineRule="auto"/>
              <w:ind w:left="547" w:hanging="547"/>
              <w:textAlignment w:val="baseline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390" w:rsidRPr="009D77F7" w:rsidRDefault="00505390" w:rsidP="00505390">
            <w:pPr>
              <w:spacing w:after="0" w:line="240" w:lineRule="auto"/>
              <w:rPr>
                <w:rFonts w:eastAsia="Times New Roman" w:cstheme="minorHAnsi"/>
                <w:sz w:val="24"/>
                <w:szCs w:val="36"/>
                <w:lang w:eastAsia="en-GB"/>
              </w:rPr>
            </w:pPr>
          </w:p>
        </w:tc>
      </w:tr>
    </w:tbl>
    <w:p w:rsidR="00505390" w:rsidRPr="009D77F7" w:rsidRDefault="00505390">
      <w:pPr>
        <w:rPr>
          <w:rFonts w:cstheme="minorHAnsi"/>
        </w:rPr>
      </w:pPr>
    </w:p>
    <w:p w:rsidR="009D77F7" w:rsidRPr="009D77F7" w:rsidRDefault="009D77F7">
      <w:pPr>
        <w:rPr>
          <w:rFonts w:cstheme="minorHAnsi"/>
        </w:rPr>
      </w:pPr>
    </w:p>
    <w:p w:rsidR="009D77F7" w:rsidRDefault="009D77F7">
      <w:pPr>
        <w:rPr>
          <w:rFonts w:cstheme="minorHAnsi"/>
        </w:rPr>
      </w:pPr>
    </w:p>
    <w:p w:rsidR="009D77F7" w:rsidRPr="009D77F7" w:rsidRDefault="009D77F7">
      <w:pPr>
        <w:rPr>
          <w:rFonts w:cstheme="minorHAnsi"/>
          <w:b/>
          <w:sz w:val="28"/>
        </w:rPr>
      </w:pPr>
      <w:r w:rsidRPr="009D77F7">
        <w:rPr>
          <w:rFonts w:cstheme="minorHAnsi"/>
          <w:b/>
          <w:sz w:val="28"/>
        </w:rPr>
        <w:t>High Quality Learning and Teaching</w:t>
      </w:r>
    </w:p>
    <w:tbl>
      <w:tblPr>
        <w:tblW w:w="15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4"/>
        <w:gridCol w:w="1276"/>
        <w:gridCol w:w="3969"/>
        <w:gridCol w:w="3118"/>
      </w:tblGrid>
      <w:tr w:rsidR="009D77F7" w:rsidRPr="00BD11AF" w:rsidTr="00BD11AF">
        <w:trPr>
          <w:cantSplit/>
          <w:trHeight w:val="495"/>
          <w:tblHeader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9D77F7">
            <w:pPr>
              <w:rPr>
                <w:rFonts w:cstheme="minorHAnsi"/>
                <w:b/>
                <w:sz w:val="24"/>
                <w:szCs w:val="24"/>
              </w:rPr>
            </w:pPr>
            <w:r w:rsidRPr="00BD11AF">
              <w:rPr>
                <w:rFonts w:eastAsia="Times New Roman" w:cstheme="minorHAnsi"/>
                <w:b/>
                <w:color w:val="000000"/>
                <w:kern w:val="24"/>
                <w:sz w:val="24"/>
                <w:szCs w:val="24"/>
                <w:lang w:eastAsia="en-GB"/>
              </w:rPr>
              <w:t>INDICATORS OF EFFECTIVE PERFORMANCE</w:t>
            </w: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9D77F7">
            <w:pPr>
              <w:rPr>
                <w:rFonts w:cstheme="minorHAnsi"/>
                <w:b/>
                <w:sz w:val="24"/>
                <w:szCs w:val="24"/>
              </w:rPr>
            </w:pPr>
            <w:r w:rsidRPr="00BD11AF">
              <w:rPr>
                <w:rFonts w:cstheme="minorHAnsi"/>
                <w:b/>
                <w:sz w:val="24"/>
                <w:szCs w:val="24"/>
              </w:rPr>
              <w:t>SCORE</w:t>
            </w: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9D77F7" w:rsidP="009D77F7">
            <w:pPr>
              <w:rPr>
                <w:rFonts w:cstheme="minorHAnsi"/>
                <w:b/>
                <w:sz w:val="24"/>
                <w:szCs w:val="24"/>
              </w:rPr>
            </w:pPr>
            <w:r w:rsidRPr="00BD11AF">
              <w:rPr>
                <w:rFonts w:cstheme="minorHAnsi"/>
                <w:b/>
                <w:sz w:val="24"/>
                <w:szCs w:val="24"/>
              </w:rPr>
              <w:t>EVIDENCE</w:t>
            </w: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9D77F7" w:rsidP="009D77F7">
            <w:pPr>
              <w:rPr>
                <w:rFonts w:cstheme="minorHAnsi"/>
                <w:b/>
                <w:sz w:val="24"/>
                <w:szCs w:val="24"/>
              </w:rPr>
            </w:pPr>
            <w:r w:rsidRPr="00BD11AF">
              <w:rPr>
                <w:rFonts w:cstheme="minorHAnsi"/>
                <w:b/>
                <w:sz w:val="24"/>
                <w:szCs w:val="24"/>
              </w:rPr>
              <w:t>AREA FOR DEVELOPMENT</w:t>
            </w:r>
          </w:p>
        </w:tc>
      </w:tr>
      <w:tr w:rsidR="009D77F7" w:rsidRPr="009D77F7" w:rsidTr="00BD11AF">
        <w:trPr>
          <w:trHeight w:val="8452"/>
        </w:trPr>
        <w:tc>
          <w:tcPr>
            <w:tcW w:w="70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Curriculum planning includes provision for learning about the aims of CRED.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There should be a process of plan, do, review as in other areas of the curriculum to allow for continuous improvement.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Teachers reflect on their own work and the outcomes of individual children and young people.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There is evidence of critical reflection by staff and young people.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All staff and young people have opportunities to engage in CRED initiatives if possible.</w:t>
            </w: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lastRenderedPageBreak/>
              <w:t>Young people where possible are involved in making choices which have a positive impact on their learning.</w:t>
            </w:r>
          </w:p>
          <w:p w:rsidR="00BD11AF" w:rsidRDefault="00BD11AF" w:rsidP="00BD11AF">
            <w:pPr>
              <w:pStyle w:val="ListParagraph"/>
              <w:rPr>
                <w:rFonts w:cstheme="minorHAnsi"/>
              </w:rPr>
            </w:pP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Teachers should, in line with the statutory requirements of the curriculum, engage with the more challenging aspects of PDMU/Citizenship.</w:t>
            </w: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Teachers should be supported to engage with controversial and sensitive issues.</w:t>
            </w:r>
          </w:p>
          <w:p w:rsidR="00BD11AF" w:rsidRDefault="00BD11AF" w:rsidP="00BD11AF">
            <w:pPr>
              <w:pStyle w:val="ListParagraph"/>
              <w:rPr>
                <w:rFonts w:cstheme="minorHAnsi"/>
              </w:rPr>
            </w:pPr>
          </w:p>
          <w:p w:rsidR="00BD11AF" w:rsidRPr="009D77F7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9D77F7">
              <w:rPr>
                <w:rFonts w:cstheme="minorHAnsi"/>
              </w:rPr>
              <w:t>Opportunities are given across the curriculum to promote shared values and to help young people to value differences and to challenge prejudice, discrimination and stereotyping.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Pr="00BD11AF" w:rsidRDefault="00BD11AF" w:rsidP="00BD11AF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t>Promote an emphasis and understanding of human rights and equality within the UNCRC.</w:t>
            </w:r>
            <w:r w:rsidRPr="00BD11AF">
              <w:rPr>
                <w:rFonts w:cstheme="minorHAnsi"/>
                <w:b/>
                <w:bCs/>
              </w:rPr>
              <w:t> </w:t>
            </w:r>
          </w:p>
          <w:p w:rsidR="00BD11AF" w:rsidRDefault="00BD11AF" w:rsidP="00BD11AF">
            <w:pPr>
              <w:rPr>
                <w:rFonts w:cstheme="minorHAnsi"/>
                <w:b/>
                <w:bCs/>
              </w:rPr>
            </w:pPr>
          </w:p>
          <w:p w:rsidR="00BD11AF" w:rsidRPr="00BD11AF" w:rsidRDefault="00BD11AF" w:rsidP="00BD11AF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9D77F7" w:rsidRDefault="00BD11AF" w:rsidP="00BD11A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77F7" w:rsidRPr="009D77F7" w:rsidRDefault="009D77F7" w:rsidP="009D77F7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77F7" w:rsidRPr="009D77F7" w:rsidRDefault="009D77F7" w:rsidP="009D77F7">
            <w:pPr>
              <w:rPr>
                <w:rFonts w:cstheme="minorHAnsi"/>
              </w:rPr>
            </w:pPr>
          </w:p>
        </w:tc>
      </w:tr>
    </w:tbl>
    <w:p w:rsidR="009D77F7" w:rsidRDefault="009D77F7">
      <w:pPr>
        <w:rPr>
          <w:rFonts w:cstheme="minorHAnsi"/>
        </w:rPr>
      </w:pPr>
    </w:p>
    <w:p w:rsidR="00BD11AF" w:rsidRPr="00BD11AF" w:rsidRDefault="00BD11AF">
      <w:pPr>
        <w:rPr>
          <w:rFonts w:cstheme="minorHAnsi"/>
          <w:b/>
          <w:sz w:val="28"/>
        </w:rPr>
      </w:pPr>
      <w:r w:rsidRPr="00BD11AF">
        <w:rPr>
          <w:rFonts w:cstheme="minorHAnsi"/>
          <w:b/>
          <w:sz w:val="28"/>
        </w:rPr>
        <w:lastRenderedPageBreak/>
        <w:t>Effective Leadership</w:t>
      </w:r>
    </w:p>
    <w:tbl>
      <w:tblPr>
        <w:tblW w:w="154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7"/>
        <w:gridCol w:w="1323"/>
        <w:gridCol w:w="3969"/>
        <w:gridCol w:w="3118"/>
      </w:tblGrid>
      <w:tr w:rsidR="00BD11AF" w:rsidRPr="00BD11AF" w:rsidTr="00BD11AF">
        <w:trPr>
          <w:cantSplit/>
          <w:trHeight w:val="494"/>
          <w:tblHeader/>
        </w:trPr>
        <w:tc>
          <w:tcPr>
            <w:tcW w:w="700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BD11AF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INDICATORS OF EFFECTIVE PERFORMANCE</w:t>
            </w:r>
          </w:p>
        </w:tc>
        <w:tc>
          <w:tcPr>
            <w:tcW w:w="132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BD11AF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SCORE</w:t>
            </w: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BD11AF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EVIDENCE</w:t>
            </w: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BD11AF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AREA FOR DEVELOPMENT</w:t>
            </w:r>
          </w:p>
        </w:tc>
      </w:tr>
      <w:tr w:rsidR="00BD11AF" w:rsidRPr="00BD11AF" w:rsidTr="00BD11AF">
        <w:trPr>
          <w:trHeight w:val="6610"/>
        </w:trPr>
        <w:tc>
          <w:tcPr>
            <w:tcW w:w="700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t>Staff and management have access to appropriate training opportunities in CRED.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295986" w:rsidRPr="00BD11AF" w:rsidRDefault="00295986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proofErr w:type="gramStart"/>
            <w:r w:rsidRPr="00BD11AF">
              <w:rPr>
                <w:rFonts w:cstheme="minorHAnsi"/>
              </w:rPr>
              <w:t>Staff have</w:t>
            </w:r>
            <w:proofErr w:type="gramEnd"/>
            <w:r w:rsidRPr="00BD11AF">
              <w:rPr>
                <w:rFonts w:cstheme="minorHAnsi"/>
              </w:rPr>
              <w:t xml:space="preserve"> management support to initiate and sustain CRED practice.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295986" w:rsidRDefault="00295986" w:rsidP="00BD11AF">
            <w:pPr>
              <w:rPr>
                <w:rFonts w:cstheme="minorHAnsi"/>
              </w:rPr>
            </w:pPr>
          </w:p>
          <w:p w:rsidR="00BD11AF" w:rsidRPr="00BD11AF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t>Support of Board of Governors/Management Committees in following the main principles of CRED.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295986" w:rsidRDefault="00295986" w:rsidP="00BD11AF">
            <w:pPr>
              <w:rPr>
                <w:rFonts w:cstheme="minorHAnsi"/>
              </w:rPr>
            </w:pPr>
          </w:p>
          <w:p w:rsidR="00BD11AF" w:rsidRPr="00BD11AF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t>Resources are managed properly and effectively, with appropriate arrangements in place for financial management.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Pr="00BD11AF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lastRenderedPageBreak/>
              <w:t>School leadership demonstrates clear vision and commitment to CRED policy and practice.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295986" w:rsidRDefault="00295986" w:rsidP="00BD11AF">
            <w:pPr>
              <w:rPr>
                <w:rFonts w:cstheme="minorHAnsi"/>
              </w:rPr>
            </w:pPr>
          </w:p>
          <w:p w:rsidR="00295986" w:rsidRPr="00BD11AF" w:rsidRDefault="00295986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t>There is a promotion of an inclusive ethos within the school.</w:t>
            </w:r>
          </w:p>
          <w:p w:rsidR="00BD11AF" w:rsidRDefault="00BD11AF" w:rsidP="00BD11AF">
            <w:pPr>
              <w:pStyle w:val="ListParagraph"/>
              <w:rPr>
                <w:rFonts w:cstheme="minorHAnsi"/>
              </w:rPr>
            </w:pP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BD11AF" w:rsidRPr="00BD11AF" w:rsidRDefault="00BD11AF" w:rsidP="00BD11AF">
            <w:pPr>
              <w:rPr>
                <w:rFonts w:cstheme="minorHAnsi"/>
              </w:rPr>
            </w:pPr>
          </w:p>
          <w:p w:rsidR="00BD11AF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t>There is a commitment to planning, monitoring and evaluating and time given to allow this to be meaningful.</w:t>
            </w:r>
          </w:p>
          <w:p w:rsidR="00BD11AF" w:rsidRDefault="00BD11AF" w:rsidP="00BD11AF">
            <w:pPr>
              <w:rPr>
                <w:rFonts w:cstheme="minorHAnsi"/>
              </w:rPr>
            </w:pPr>
          </w:p>
          <w:p w:rsidR="00295986" w:rsidRDefault="00295986" w:rsidP="00BD11AF">
            <w:pPr>
              <w:rPr>
                <w:rFonts w:cstheme="minorHAnsi"/>
              </w:rPr>
            </w:pPr>
          </w:p>
          <w:p w:rsidR="00295986" w:rsidRPr="00BD11AF" w:rsidRDefault="00295986" w:rsidP="00BD11AF">
            <w:pPr>
              <w:rPr>
                <w:rFonts w:cstheme="minorHAnsi"/>
              </w:rPr>
            </w:pPr>
          </w:p>
          <w:p w:rsidR="00BD11AF" w:rsidRPr="00295986" w:rsidRDefault="00BD11AF" w:rsidP="00BD11AF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BD11AF">
              <w:rPr>
                <w:rFonts w:cstheme="minorHAnsi"/>
              </w:rPr>
              <w:t>Engagement with external agencies (such as ETI, ELBs) in relation to monitoring and</w:t>
            </w:r>
            <w:r>
              <w:rPr>
                <w:rFonts w:cstheme="minorHAnsi"/>
              </w:rPr>
              <w:t xml:space="preserve"> </w:t>
            </w:r>
            <w:r w:rsidRPr="00BD11AF">
              <w:rPr>
                <w:rFonts w:cstheme="minorHAnsi"/>
              </w:rPr>
              <w:t xml:space="preserve">evaluation. </w:t>
            </w:r>
            <w:r w:rsidRPr="00BD11AF">
              <w:rPr>
                <w:rFonts w:cstheme="minorHAnsi"/>
                <w:b/>
                <w:bCs/>
              </w:rPr>
              <w:t> </w:t>
            </w:r>
          </w:p>
          <w:p w:rsidR="00295986" w:rsidRDefault="00295986" w:rsidP="00295986">
            <w:pPr>
              <w:rPr>
                <w:rFonts w:cstheme="minorHAnsi"/>
                <w:b/>
                <w:bCs/>
              </w:rPr>
            </w:pPr>
          </w:p>
          <w:p w:rsidR="00295986" w:rsidRDefault="00295986" w:rsidP="00295986">
            <w:pPr>
              <w:rPr>
                <w:rFonts w:cstheme="minorHAnsi"/>
                <w:b/>
                <w:bCs/>
              </w:rPr>
            </w:pPr>
          </w:p>
          <w:p w:rsidR="00295986" w:rsidRDefault="00295986" w:rsidP="00295986">
            <w:pPr>
              <w:rPr>
                <w:rFonts w:cstheme="minorHAnsi"/>
                <w:b/>
                <w:bCs/>
              </w:rPr>
            </w:pPr>
          </w:p>
          <w:p w:rsidR="00295986" w:rsidRPr="00BD11AF" w:rsidRDefault="00295986" w:rsidP="00295986">
            <w:pPr>
              <w:rPr>
                <w:rFonts w:cstheme="minorHAnsi"/>
              </w:rPr>
            </w:pPr>
          </w:p>
        </w:tc>
        <w:tc>
          <w:tcPr>
            <w:tcW w:w="132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BD11A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BD11AF">
            <w:pPr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1AF" w:rsidRPr="00BD11AF" w:rsidRDefault="00BD11AF" w:rsidP="00BD11AF">
            <w:pPr>
              <w:rPr>
                <w:rFonts w:cstheme="minorHAnsi"/>
              </w:rPr>
            </w:pPr>
          </w:p>
        </w:tc>
      </w:tr>
    </w:tbl>
    <w:p w:rsidR="00BD11AF" w:rsidRDefault="00BD11AF">
      <w:pPr>
        <w:rPr>
          <w:rFonts w:cstheme="minorHAnsi"/>
        </w:rPr>
      </w:pPr>
    </w:p>
    <w:p w:rsidR="00295986" w:rsidRPr="00295986" w:rsidRDefault="00295986" w:rsidP="00295986">
      <w:pPr>
        <w:rPr>
          <w:rFonts w:cstheme="minorHAnsi"/>
          <w:b/>
          <w:sz w:val="28"/>
        </w:rPr>
      </w:pPr>
      <w:r w:rsidRPr="00295986">
        <w:rPr>
          <w:rFonts w:cstheme="minorHAnsi"/>
          <w:b/>
          <w:sz w:val="28"/>
        </w:rPr>
        <w:t>A School Connected to its Local Community</w:t>
      </w:r>
    </w:p>
    <w:tbl>
      <w:tblPr>
        <w:tblW w:w="1540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0"/>
        <w:gridCol w:w="1322"/>
        <w:gridCol w:w="3965"/>
        <w:gridCol w:w="3115"/>
      </w:tblGrid>
      <w:tr w:rsidR="00295986" w:rsidRPr="00BD11AF" w:rsidTr="00295986">
        <w:trPr>
          <w:cantSplit/>
          <w:trHeight w:val="441"/>
          <w:tblHeader/>
        </w:trPr>
        <w:tc>
          <w:tcPr>
            <w:tcW w:w="70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986" w:rsidRPr="00BD11AF" w:rsidRDefault="00295986" w:rsidP="00F81CD4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INDICATORS OF EFFECTIVE PERFORMANCE</w:t>
            </w:r>
          </w:p>
        </w:tc>
        <w:tc>
          <w:tcPr>
            <w:tcW w:w="132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986" w:rsidRPr="00BD11AF" w:rsidRDefault="00295986" w:rsidP="00F81CD4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SCORE</w:t>
            </w:r>
          </w:p>
        </w:tc>
        <w:tc>
          <w:tcPr>
            <w:tcW w:w="396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986" w:rsidRPr="00BD11AF" w:rsidRDefault="00295986" w:rsidP="00F81CD4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EVIDENCE</w:t>
            </w:r>
          </w:p>
        </w:tc>
        <w:tc>
          <w:tcPr>
            <w:tcW w:w="311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986" w:rsidRPr="00BD11AF" w:rsidRDefault="00295986" w:rsidP="00F81CD4">
            <w:pPr>
              <w:rPr>
                <w:rFonts w:cstheme="minorHAnsi"/>
                <w:b/>
                <w:sz w:val="24"/>
              </w:rPr>
            </w:pPr>
            <w:r w:rsidRPr="00BD11AF">
              <w:rPr>
                <w:rFonts w:cstheme="minorHAnsi"/>
                <w:b/>
                <w:sz w:val="24"/>
              </w:rPr>
              <w:t>AREA FOR DEVELOPMENT</w:t>
            </w:r>
          </w:p>
        </w:tc>
      </w:tr>
      <w:tr w:rsidR="00295986" w:rsidRPr="00295986" w:rsidTr="00295986">
        <w:trPr>
          <w:trHeight w:val="6703"/>
        </w:trPr>
        <w:tc>
          <w:tcPr>
            <w:tcW w:w="70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986" w:rsidRDefault="00295986" w:rsidP="0029598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295986">
              <w:rPr>
                <w:rFonts w:cstheme="minorHAnsi"/>
              </w:rPr>
              <w:t>Parents, carers and the wider local community are informed about the organisation’s commitment to CRED.</w:t>
            </w: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P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295986">
              <w:rPr>
                <w:rFonts w:cstheme="minorHAnsi"/>
              </w:rPr>
              <w:t>Parents, carers and the wider community are given the opportunity to engage with members of a different tradition/community.</w:t>
            </w: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P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295986">
              <w:rPr>
                <w:rFonts w:cstheme="minorHAnsi"/>
              </w:rPr>
              <w:t>Appropriate local connections are sought where possi</w:t>
            </w:r>
            <w:r>
              <w:rPr>
                <w:rFonts w:cstheme="minorHAnsi"/>
              </w:rPr>
              <w:t>ble and relationships developed.</w:t>
            </w: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P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295986">
              <w:rPr>
                <w:rFonts w:cstheme="minorHAnsi"/>
              </w:rPr>
              <w:lastRenderedPageBreak/>
              <w:t xml:space="preserve">The school uses its involvement in other programmes to further support the aims of CRED. </w:t>
            </w: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Default="00295986" w:rsidP="00295986">
            <w:pPr>
              <w:rPr>
                <w:rFonts w:cstheme="minorHAnsi"/>
              </w:rPr>
            </w:pPr>
          </w:p>
          <w:p w:rsidR="00295986" w:rsidRPr="00295986" w:rsidRDefault="00295986" w:rsidP="00295986">
            <w:pPr>
              <w:rPr>
                <w:rFonts w:cstheme="minorHAnsi"/>
              </w:rPr>
            </w:pPr>
            <w:bookmarkStart w:id="0" w:name="_GoBack"/>
            <w:bookmarkEnd w:id="0"/>
          </w:p>
          <w:p w:rsidR="00295986" w:rsidRPr="00295986" w:rsidRDefault="00295986" w:rsidP="00295986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295986">
              <w:rPr>
                <w:rFonts w:cstheme="minorHAnsi"/>
              </w:rPr>
              <w:t>Explore/encourage opportunities for young people to engage with others from different backgrounds/traditions and build positive relationships.</w:t>
            </w:r>
          </w:p>
        </w:tc>
        <w:tc>
          <w:tcPr>
            <w:tcW w:w="132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95986" w:rsidRDefault="00295986" w:rsidP="00295986">
            <w:pPr>
              <w:rPr>
                <w:rFonts w:cstheme="minorHAnsi"/>
              </w:rPr>
            </w:pPr>
            <w:r w:rsidRPr="00295986">
              <w:rPr>
                <w:rFonts w:cstheme="minorHAnsi"/>
                <w:b/>
                <w:bCs/>
              </w:rPr>
              <w:lastRenderedPageBreak/>
              <w:t> </w:t>
            </w:r>
          </w:p>
        </w:tc>
        <w:tc>
          <w:tcPr>
            <w:tcW w:w="396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986" w:rsidRPr="00295986" w:rsidRDefault="00295986" w:rsidP="00295986">
            <w:pPr>
              <w:rPr>
                <w:rFonts w:cstheme="minorHAnsi"/>
              </w:rPr>
            </w:pPr>
          </w:p>
        </w:tc>
        <w:tc>
          <w:tcPr>
            <w:tcW w:w="311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E7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5986" w:rsidRPr="00295986" w:rsidRDefault="00295986" w:rsidP="00295986">
            <w:pPr>
              <w:rPr>
                <w:rFonts w:cstheme="minorHAnsi"/>
              </w:rPr>
            </w:pPr>
          </w:p>
        </w:tc>
      </w:tr>
    </w:tbl>
    <w:p w:rsidR="00295986" w:rsidRPr="009D77F7" w:rsidRDefault="00295986">
      <w:pPr>
        <w:rPr>
          <w:rFonts w:cstheme="minorHAnsi"/>
        </w:rPr>
      </w:pPr>
    </w:p>
    <w:sectPr w:rsidR="00295986" w:rsidRPr="009D77F7" w:rsidSect="00505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1E6"/>
    <w:multiLevelType w:val="hybridMultilevel"/>
    <w:tmpl w:val="EE56FBFC"/>
    <w:lvl w:ilvl="0" w:tplc="B1D6DE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94B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60F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66C5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903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A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64CA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C60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A89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71E10"/>
    <w:multiLevelType w:val="hybridMultilevel"/>
    <w:tmpl w:val="F9306CF4"/>
    <w:lvl w:ilvl="0" w:tplc="34C619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509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4FA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F657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D4B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6BE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5252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B0B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EC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840AE"/>
    <w:multiLevelType w:val="hybridMultilevel"/>
    <w:tmpl w:val="26223AD0"/>
    <w:lvl w:ilvl="0" w:tplc="B5061AA2">
      <w:start w:val="1"/>
      <w:numFmt w:val="lowerLetter"/>
      <w:lvlText w:val="%1."/>
      <w:lvlJc w:val="left"/>
      <w:pPr>
        <w:tabs>
          <w:tab w:val="num" w:pos="-402"/>
        </w:tabs>
        <w:ind w:left="-402" w:hanging="360"/>
      </w:pPr>
    </w:lvl>
    <w:lvl w:ilvl="1" w:tplc="199861E6" w:tentative="1">
      <w:start w:val="1"/>
      <w:numFmt w:val="lowerLetter"/>
      <w:lvlText w:val="%2."/>
      <w:lvlJc w:val="left"/>
      <w:pPr>
        <w:tabs>
          <w:tab w:val="num" w:pos="318"/>
        </w:tabs>
        <w:ind w:left="318" w:hanging="360"/>
      </w:pPr>
    </w:lvl>
    <w:lvl w:ilvl="2" w:tplc="3E4A28C4" w:tentative="1">
      <w:start w:val="1"/>
      <w:numFmt w:val="lowerLetter"/>
      <w:lvlText w:val="%3."/>
      <w:lvlJc w:val="left"/>
      <w:pPr>
        <w:tabs>
          <w:tab w:val="num" w:pos="1038"/>
        </w:tabs>
        <w:ind w:left="1038" w:hanging="360"/>
      </w:pPr>
    </w:lvl>
    <w:lvl w:ilvl="3" w:tplc="3C3E7BAC" w:tentative="1">
      <w:start w:val="1"/>
      <w:numFmt w:val="lowerLetter"/>
      <w:lvlText w:val="%4."/>
      <w:lvlJc w:val="left"/>
      <w:pPr>
        <w:tabs>
          <w:tab w:val="num" w:pos="1758"/>
        </w:tabs>
        <w:ind w:left="1758" w:hanging="360"/>
      </w:pPr>
    </w:lvl>
    <w:lvl w:ilvl="4" w:tplc="EDCAE564" w:tentative="1">
      <w:start w:val="1"/>
      <w:numFmt w:val="lowerLetter"/>
      <w:lvlText w:val="%5."/>
      <w:lvlJc w:val="left"/>
      <w:pPr>
        <w:tabs>
          <w:tab w:val="num" w:pos="2478"/>
        </w:tabs>
        <w:ind w:left="2478" w:hanging="360"/>
      </w:pPr>
    </w:lvl>
    <w:lvl w:ilvl="5" w:tplc="E67CE994" w:tentative="1">
      <w:start w:val="1"/>
      <w:numFmt w:val="lowerLetter"/>
      <w:lvlText w:val="%6."/>
      <w:lvlJc w:val="left"/>
      <w:pPr>
        <w:tabs>
          <w:tab w:val="num" w:pos="3198"/>
        </w:tabs>
        <w:ind w:left="3198" w:hanging="360"/>
      </w:pPr>
    </w:lvl>
    <w:lvl w:ilvl="6" w:tplc="6C08EA94" w:tentative="1">
      <w:start w:val="1"/>
      <w:numFmt w:val="lowerLetter"/>
      <w:lvlText w:val="%7."/>
      <w:lvlJc w:val="left"/>
      <w:pPr>
        <w:tabs>
          <w:tab w:val="num" w:pos="3918"/>
        </w:tabs>
        <w:ind w:left="3918" w:hanging="360"/>
      </w:pPr>
    </w:lvl>
    <w:lvl w:ilvl="7" w:tplc="D8221750" w:tentative="1">
      <w:start w:val="1"/>
      <w:numFmt w:val="lowerLetter"/>
      <w:lvlText w:val="%8."/>
      <w:lvlJc w:val="left"/>
      <w:pPr>
        <w:tabs>
          <w:tab w:val="num" w:pos="4638"/>
        </w:tabs>
        <w:ind w:left="4638" w:hanging="360"/>
      </w:pPr>
    </w:lvl>
    <w:lvl w:ilvl="8" w:tplc="DBCA6F64" w:tentative="1">
      <w:start w:val="1"/>
      <w:numFmt w:val="lowerLetter"/>
      <w:lvlText w:val="%9."/>
      <w:lvlJc w:val="left"/>
      <w:pPr>
        <w:tabs>
          <w:tab w:val="num" w:pos="5358"/>
        </w:tabs>
        <w:ind w:left="5358" w:hanging="360"/>
      </w:pPr>
    </w:lvl>
  </w:abstractNum>
  <w:abstractNum w:abstractNumId="3">
    <w:nsid w:val="7F3E462C"/>
    <w:multiLevelType w:val="hybridMultilevel"/>
    <w:tmpl w:val="843E9D42"/>
    <w:lvl w:ilvl="0" w:tplc="713460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8E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8A4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96EE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C06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867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C207B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18A8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C24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0"/>
    <w:rsid w:val="00295986"/>
    <w:rsid w:val="00505390"/>
    <w:rsid w:val="006451DD"/>
    <w:rsid w:val="009D77F7"/>
    <w:rsid w:val="00BD11AF"/>
    <w:rsid w:val="00E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Gardiner</dc:creator>
  <cp:lastModifiedBy>Lorna Gardiner</cp:lastModifiedBy>
  <cp:revision>3</cp:revision>
  <dcterms:created xsi:type="dcterms:W3CDTF">2012-10-18T17:10:00Z</dcterms:created>
  <dcterms:modified xsi:type="dcterms:W3CDTF">2012-10-18T17:35:00Z</dcterms:modified>
</cp:coreProperties>
</file>