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B" w:rsidRDefault="00E1247B" w:rsidP="00E1247B">
      <w:pPr>
        <w:rPr>
          <w:rFonts w:cstheme="minorHAnsi"/>
          <w:b/>
          <w:i/>
          <w:color w:val="1F497D" w:themeColor="text2"/>
          <w:sz w:val="28"/>
        </w:rPr>
      </w:pPr>
      <w:r w:rsidRPr="00E1247B">
        <w:rPr>
          <w:rFonts w:cstheme="minorHAnsi"/>
          <w:b/>
          <w:i/>
          <w:color w:val="1F497D" w:themeColor="text2"/>
          <w:sz w:val="28"/>
        </w:rPr>
        <w:drawing>
          <wp:anchor distT="0" distB="0" distL="114300" distR="114300" simplePos="0" relativeHeight="251658240" behindDoc="0" locked="0" layoutInCell="1" allowOverlap="1" wp14:anchorId="2F260B5B" wp14:editId="618E729B">
            <wp:simplePos x="0" y="0"/>
            <wp:positionH relativeFrom="column">
              <wp:posOffset>1211580</wp:posOffset>
            </wp:positionH>
            <wp:positionV relativeFrom="paragraph">
              <wp:posOffset>216535</wp:posOffset>
            </wp:positionV>
            <wp:extent cx="7123430" cy="5046980"/>
            <wp:effectExtent l="133350" t="76200" r="115570" b="1727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504698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47B" w:rsidRDefault="00E1247B" w:rsidP="00E1247B">
      <w:pPr>
        <w:rPr>
          <w:rFonts w:cstheme="minorHAnsi"/>
          <w:b/>
          <w:i/>
          <w:color w:val="1F497D" w:themeColor="text2"/>
          <w:sz w:val="28"/>
        </w:rPr>
      </w:pPr>
      <w:r w:rsidRPr="009D77F7">
        <w:rPr>
          <w:rFonts w:cstheme="minorHAnsi"/>
          <w:b/>
          <w:i/>
          <w:color w:val="1F497D" w:themeColor="text2"/>
          <w:sz w:val="28"/>
        </w:rPr>
        <w:t>The following indic</w:t>
      </w:r>
      <w:r>
        <w:rPr>
          <w:rFonts w:cstheme="minorHAnsi"/>
          <w:b/>
          <w:i/>
          <w:color w:val="1F497D" w:themeColor="text2"/>
          <w:sz w:val="28"/>
        </w:rPr>
        <w:t xml:space="preserve">ators of effective performance are </w:t>
      </w:r>
      <w:r w:rsidRPr="009D77F7">
        <w:rPr>
          <w:rFonts w:cstheme="minorHAnsi"/>
          <w:b/>
          <w:i/>
          <w:color w:val="1F497D" w:themeColor="text2"/>
          <w:sz w:val="28"/>
        </w:rPr>
        <w:t>identified in DE’s CRED</w:t>
      </w:r>
      <w:r>
        <w:rPr>
          <w:rFonts w:cstheme="minorHAnsi"/>
          <w:b/>
          <w:i/>
          <w:color w:val="1F497D" w:themeColor="text2"/>
          <w:sz w:val="28"/>
        </w:rPr>
        <w:t xml:space="preserve"> Guidance </w:t>
      </w:r>
      <w:proofErr w:type="spellStart"/>
      <w:r>
        <w:rPr>
          <w:rFonts w:cstheme="minorHAnsi"/>
          <w:b/>
          <w:i/>
          <w:color w:val="1F497D" w:themeColor="text2"/>
          <w:sz w:val="28"/>
        </w:rPr>
        <w:t>pp</w:t>
      </w:r>
      <w:proofErr w:type="spellEnd"/>
      <w:r>
        <w:rPr>
          <w:rFonts w:cstheme="minorHAnsi"/>
          <w:b/>
          <w:i/>
          <w:color w:val="1F497D" w:themeColor="text2"/>
          <w:sz w:val="28"/>
        </w:rPr>
        <w:t xml:space="preserve"> 33-35</w:t>
      </w:r>
      <w:r w:rsidRPr="009D77F7">
        <w:rPr>
          <w:rFonts w:cstheme="minorHAnsi"/>
          <w:b/>
          <w:i/>
          <w:color w:val="1F497D" w:themeColor="text2"/>
          <w:sz w:val="28"/>
        </w:rPr>
        <w:t xml:space="preserve">. </w:t>
      </w:r>
      <w:r>
        <w:rPr>
          <w:rFonts w:cstheme="minorHAnsi"/>
          <w:b/>
          <w:i/>
          <w:color w:val="1F497D" w:themeColor="text2"/>
          <w:sz w:val="28"/>
        </w:rPr>
        <w:t>Youth Groups</w:t>
      </w:r>
      <w:r w:rsidRPr="009D77F7">
        <w:rPr>
          <w:rFonts w:cstheme="minorHAnsi"/>
          <w:b/>
          <w:i/>
          <w:color w:val="1F497D" w:themeColor="text2"/>
          <w:sz w:val="28"/>
        </w:rPr>
        <w:t xml:space="preserve"> may choose to use the alternative Quality Indicator Framework identif</w:t>
      </w:r>
      <w:r>
        <w:rPr>
          <w:rFonts w:cstheme="minorHAnsi"/>
          <w:b/>
          <w:i/>
          <w:color w:val="1F497D" w:themeColor="text2"/>
          <w:sz w:val="28"/>
        </w:rPr>
        <w:t>ied in Annex 3 of the Guidance.</w:t>
      </w:r>
    </w:p>
    <w:p w:rsidR="00E1247B" w:rsidRPr="00E74024" w:rsidRDefault="00E74024" w:rsidP="00E74024">
      <w:pPr>
        <w:tabs>
          <w:tab w:val="left" w:pos="12424"/>
        </w:tabs>
        <w:rPr>
          <w:b/>
          <w:sz w:val="28"/>
        </w:rPr>
      </w:pPr>
      <w:r w:rsidRPr="00E74024">
        <w:rPr>
          <w:b/>
          <w:sz w:val="28"/>
          <w:lang w:val="en-US"/>
        </w:rPr>
        <w:lastRenderedPageBreak/>
        <w:t>Developing Youth Work Practice</w:t>
      </w:r>
    </w:p>
    <w:tbl>
      <w:tblPr>
        <w:tblW w:w="15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4"/>
        <w:gridCol w:w="1276"/>
        <w:gridCol w:w="3969"/>
        <w:gridCol w:w="3118"/>
      </w:tblGrid>
      <w:tr w:rsidR="00E74024" w:rsidRPr="009D77F7" w:rsidTr="00F81CD4">
        <w:trPr>
          <w:cantSplit/>
          <w:trHeight w:val="494"/>
          <w:tblHeader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INDICATORS OF EFFECTIVE PERFORMANCE</w:t>
            </w: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AREA FOR DEVELOPMENT</w:t>
            </w:r>
          </w:p>
        </w:tc>
      </w:tr>
      <w:tr w:rsidR="00E74024" w:rsidRPr="009D77F7" w:rsidTr="00F81CD4">
        <w:trPr>
          <w:trHeight w:val="27"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84083" w:rsidP="00E74024">
            <w:pPr>
              <w:numPr>
                <w:ilvl w:val="0"/>
                <w:numId w:val="1"/>
              </w:numPr>
              <w:tabs>
                <w:tab w:val="clear" w:pos="-402"/>
                <w:tab w:val="left" w:pos="350"/>
                <w:tab w:val="num" w:pos="72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Programme planning includes provision for learning about the aims of</w:t>
            </w: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 CRED.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clear" w:pos="-402"/>
                <w:tab w:val="left" w:pos="350"/>
                <w:tab w:val="num" w:pos="72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A curriculum and programme development cycle is applied to promote continuous improvement.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Youth workers reflect on the</w:t>
            </w: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ir own work and the outcomes for individual young people.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There is evidence of critical reflection by youth workers and young people.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lastRenderedPageBreak/>
              <w:t>All youth workers and young people have opportunities to engage in CRED initiatives.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Young people are involved in making choices which have a positive impact on their experiences.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Practice is underpinned by par</w:t>
            </w: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ticipation principles.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Youth workers are appropriately trained and confident in dealing with controversial and sensitive issues.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lastRenderedPageBreak/>
              <w:t>Opportunities are given throughout programme delivery to promote shared values and to help young people to value differences and to challenge prejudice, discrimination and stereotyping.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000000" w:rsidRDefault="00184083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Opportunities are provided to promote an understanding of equality, human rights and the UNCRC.  The unit/local group provides opportunities for young people to engage with others from different traditions and communities, and build positive relatio</w:t>
            </w: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nships.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val="en-US" w:eastAsia="en-GB"/>
              </w:rPr>
              <w:t>There are opportunities to promote and celebrate CRED work within the community.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9D77F7" w:rsidRDefault="00E74024" w:rsidP="00F81CD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9D77F7" w:rsidRDefault="00E74024" w:rsidP="00F81CD4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tabs>
                <w:tab w:val="left" w:pos="350"/>
              </w:tabs>
              <w:spacing w:after="0" w:line="240" w:lineRule="auto"/>
              <w:ind w:left="547" w:hanging="547"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</w:tr>
    </w:tbl>
    <w:p w:rsidR="00E001E3" w:rsidRDefault="00E001E3" w:rsidP="00E1247B">
      <w:pPr>
        <w:tabs>
          <w:tab w:val="left" w:pos="12424"/>
        </w:tabs>
      </w:pPr>
    </w:p>
    <w:p w:rsidR="00E74024" w:rsidRDefault="00E74024" w:rsidP="00E1247B">
      <w:pPr>
        <w:tabs>
          <w:tab w:val="left" w:pos="12424"/>
        </w:tabs>
      </w:pPr>
    </w:p>
    <w:p w:rsidR="00E74024" w:rsidRDefault="00E74024" w:rsidP="00E1247B">
      <w:pPr>
        <w:tabs>
          <w:tab w:val="left" w:pos="12424"/>
        </w:tabs>
      </w:pPr>
    </w:p>
    <w:p w:rsidR="00E74024" w:rsidRPr="00E74024" w:rsidRDefault="00E74024" w:rsidP="00E74024">
      <w:pPr>
        <w:tabs>
          <w:tab w:val="left" w:pos="12424"/>
        </w:tabs>
        <w:rPr>
          <w:b/>
          <w:sz w:val="28"/>
        </w:rPr>
      </w:pPr>
      <w:r w:rsidRPr="00E1247B">
        <w:rPr>
          <w:rFonts w:eastAsia="Times New Roman" w:cstheme="minorHAnsi"/>
          <w:b/>
          <w:color w:val="000000"/>
          <w:kern w:val="24"/>
          <w:sz w:val="28"/>
          <w:szCs w:val="26"/>
          <w:lang w:val="en-US" w:eastAsia="en-GB"/>
        </w:rPr>
        <w:t>Developing People</w:t>
      </w:r>
    </w:p>
    <w:tbl>
      <w:tblPr>
        <w:tblW w:w="15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4"/>
        <w:gridCol w:w="1276"/>
        <w:gridCol w:w="3969"/>
        <w:gridCol w:w="3118"/>
      </w:tblGrid>
      <w:tr w:rsidR="00E74024" w:rsidRPr="009D77F7" w:rsidTr="00F81CD4">
        <w:trPr>
          <w:cantSplit/>
          <w:trHeight w:val="494"/>
          <w:tblHeader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INDICATORS OF EFFECTIVE PERFORMANCE</w:t>
            </w: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AREA FOR DEVELOPMENT</w:t>
            </w:r>
          </w:p>
        </w:tc>
      </w:tr>
      <w:tr w:rsidR="00E74024" w:rsidRPr="009D77F7" w:rsidTr="00F81CD4">
        <w:trPr>
          <w:trHeight w:val="27"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84083" w:rsidP="00E7402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Management, staff and volunteers have access </w:t>
            </w:r>
            <w:proofErr w:type="gramStart"/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to  </w:t>
            </w:r>
            <w:r w:rsidR="00E74024"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appropriate</w:t>
            </w:r>
            <w:proofErr w:type="gramEnd"/>
            <w:r w:rsidR="00E74024"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 training opportunities in CRED.</w:t>
            </w: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  </w:t>
            </w: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Staff and volunteers have the support of management/advisory committees to initiate and sustain CRED practice.</w:t>
            </w: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 Resources are managed properly and effectively, including financial management arrangements.</w:t>
            </w: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 leadership of the agency/unit demonstrate clear commitment to CRED policy and practice.</w:t>
            </w: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lastRenderedPageBreak/>
              <w:t>There is a commitment to planning, monitoring and evaluating the work of the agency /unit and time given to that.</w:t>
            </w: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There is engagement with external agencies (such as ETI, ELBs) in relation to monitoring and evaluation. Parents, carers and the wider local community are informed about the units/local </w:t>
            </w:r>
            <w:proofErr w:type="gramStart"/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groups</w:t>
            </w:r>
            <w:proofErr w:type="gramEnd"/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 commitment to CRED.</w:t>
            </w: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E74024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Parents, carers and the wider community are     given opportunities to engage with others from different traditions and communities.</w:t>
            </w: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Default="00E74024" w:rsidP="00E7402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E74024" w:rsidRPr="00E74024" w:rsidRDefault="00E74024" w:rsidP="00E7402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tabs>
                <w:tab w:val="left" w:pos="350"/>
              </w:tabs>
              <w:spacing w:after="0" w:line="240" w:lineRule="auto"/>
              <w:ind w:left="547" w:hanging="547"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24" w:rsidRPr="009D77F7" w:rsidRDefault="00E74024" w:rsidP="00F81CD4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</w:tr>
    </w:tbl>
    <w:p w:rsidR="00E74024" w:rsidRDefault="00E74024" w:rsidP="00E1247B">
      <w:pPr>
        <w:tabs>
          <w:tab w:val="left" w:pos="12424"/>
        </w:tabs>
      </w:pPr>
    </w:p>
    <w:p w:rsidR="00184083" w:rsidRDefault="00184083" w:rsidP="00E1247B">
      <w:pPr>
        <w:tabs>
          <w:tab w:val="left" w:pos="12424"/>
        </w:tabs>
      </w:pPr>
    </w:p>
    <w:p w:rsidR="00184083" w:rsidRDefault="00184083" w:rsidP="00184083">
      <w:pPr>
        <w:tabs>
          <w:tab w:val="left" w:pos="12424"/>
        </w:tabs>
        <w:rPr>
          <w:b/>
          <w:sz w:val="28"/>
        </w:rPr>
      </w:pPr>
      <w:r w:rsidRPr="00184083">
        <w:rPr>
          <w:b/>
          <w:sz w:val="28"/>
        </w:rPr>
        <w:lastRenderedPageBreak/>
        <w:t>Developing the Organisation</w:t>
      </w:r>
    </w:p>
    <w:tbl>
      <w:tblPr>
        <w:tblW w:w="15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4"/>
        <w:gridCol w:w="1276"/>
        <w:gridCol w:w="3969"/>
        <w:gridCol w:w="3118"/>
      </w:tblGrid>
      <w:tr w:rsidR="00184083" w:rsidRPr="009D77F7" w:rsidTr="00F81CD4">
        <w:trPr>
          <w:cantSplit/>
          <w:trHeight w:val="494"/>
          <w:tblHeader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083" w:rsidRPr="009D77F7" w:rsidRDefault="00184083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INDICATORS OF EFFECTIVE PERFORMANCE</w:t>
            </w: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083" w:rsidRPr="009D77F7" w:rsidRDefault="00184083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083" w:rsidRPr="009D77F7" w:rsidRDefault="00184083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083" w:rsidRPr="009D77F7" w:rsidRDefault="00184083" w:rsidP="00F81CD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AREA FOR DEVELOPMENT</w:t>
            </w:r>
          </w:p>
        </w:tc>
      </w:tr>
      <w:tr w:rsidR="00184083" w:rsidRPr="009D77F7" w:rsidTr="00F81CD4">
        <w:trPr>
          <w:trHeight w:val="27"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The inclusion of CRED in the Service Level agreement.   </w:t>
            </w: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A whole organisational approach is evident – all staff, volunteers and young people involved in learning about CRED.</w:t>
            </w: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The unit/local group uses its involvement in other programmes to further support the aims of CRED. </w:t>
            </w: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Umbrella/regional bodies support units and local groups to establish effective networks within their local communities.</w:t>
            </w:r>
          </w:p>
          <w:p w:rsidR="00184083" w:rsidRP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lastRenderedPageBreak/>
              <w:t>Units/local groups develop effective networks to ensure appropriate local connections.</w:t>
            </w:r>
          </w:p>
          <w:p w:rsidR="00184083" w:rsidRPr="00184083" w:rsidRDefault="00184083" w:rsidP="00184083">
            <w:pPr>
              <w:pStyle w:val="ListParagraph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There is a visible commitment to acceptance and understanding of others, inclusion and the promotion of the EDI principles.</w:t>
            </w: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Staff and volunteers recognise the importance of modelling appropriate attitudes, language and behaviour and demonstrating these.</w:t>
            </w: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 work of the organisation takes account of the needs of all children and young people.</w:t>
            </w: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Youth work settings are sensitive to the diverse identities of all members of the community.</w:t>
            </w: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184083">
            <w:p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184083" w:rsidRDefault="00184083" w:rsidP="00184083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r w:rsidRPr="00184083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There is a commitment to involve young people in discussions and decision making.</w:t>
            </w:r>
          </w:p>
          <w:p w:rsidR="00184083" w:rsidRDefault="00184083" w:rsidP="00F81CD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F81CD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F81CD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F81CD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Default="00184083" w:rsidP="00F81CD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184083" w:rsidRPr="00E74024" w:rsidRDefault="00184083" w:rsidP="00F81CD4">
            <w:pPr>
              <w:tabs>
                <w:tab w:val="left" w:pos="35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083" w:rsidRPr="009D77F7" w:rsidRDefault="00184083" w:rsidP="00F81CD4">
            <w:pPr>
              <w:tabs>
                <w:tab w:val="left" w:pos="350"/>
              </w:tabs>
              <w:spacing w:after="0" w:line="240" w:lineRule="auto"/>
              <w:ind w:left="547" w:hanging="547"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083" w:rsidRPr="009D77F7" w:rsidRDefault="00184083" w:rsidP="00F81CD4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083" w:rsidRPr="009D77F7" w:rsidRDefault="00184083" w:rsidP="00F81CD4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</w:tr>
    </w:tbl>
    <w:p w:rsidR="00184083" w:rsidRPr="00184083" w:rsidRDefault="00184083" w:rsidP="00184083">
      <w:pPr>
        <w:tabs>
          <w:tab w:val="left" w:pos="12424"/>
        </w:tabs>
        <w:rPr>
          <w:b/>
          <w:sz w:val="28"/>
        </w:rPr>
      </w:pPr>
    </w:p>
    <w:sectPr w:rsidR="00184083" w:rsidRPr="00184083" w:rsidSect="00505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4E5"/>
    <w:multiLevelType w:val="hybridMultilevel"/>
    <w:tmpl w:val="3E747D16"/>
    <w:lvl w:ilvl="0" w:tplc="348E9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F8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22D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836E3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6A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00ED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14E37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16F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E45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61E6"/>
    <w:multiLevelType w:val="hybridMultilevel"/>
    <w:tmpl w:val="EE56FBFC"/>
    <w:lvl w:ilvl="0" w:tplc="B1D6DE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4B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60F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66C5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903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A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64CA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C60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A89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57B75"/>
    <w:multiLevelType w:val="hybridMultilevel"/>
    <w:tmpl w:val="FE78F1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083"/>
    <w:multiLevelType w:val="hybridMultilevel"/>
    <w:tmpl w:val="2E8AF41E"/>
    <w:lvl w:ilvl="0" w:tplc="E75C50E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FCC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CB4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7002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F46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670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784B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A0CC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A3B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24367"/>
    <w:multiLevelType w:val="hybridMultilevel"/>
    <w:tmpl w:val="1F16D890"/>
    <w:lvl w:ilvl="0" w:tplc="CD4460F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740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8AD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B27B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CBA6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C3B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CAC32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BA8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047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76165"/>
    <w:multiLevelType w:val="hybridMultilevel"/>
    <w:tmpl w:val="40CEAB06"/>
    <w:lvl w:ilvl="0" w:tplc="867E0D1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CC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E7D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97A84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3A25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0DF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9ECC5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808F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C25E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55248"/>
    <w:multiLevelType w:val="hybridMultilevel"/>
    <w:tmpl w:val="A9468A5C"/>
    <w:lvl w:ilvl="0" w:tplc="7CD2E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56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05C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A1CC0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8185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8F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0ECF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9644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214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D5138"/>
    <w:multiLevelType w:val="hybridMultilevel"/>
    <w:tmpl w:val="4ABEDA4E"/>
    <w:lvl w:ilvl="0" w:tplc="63262E3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E4B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A90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B431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CCC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8D9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8E08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365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20C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E26E5"/>
    <w:multiLevelType w:val="hybridMultilevel"/>
    <w:tmpl w:val="9FCE0E96"/>
    <w:lvl w:ilvl="0" w:tplc="FF5052C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1E8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07F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1663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EF4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E8E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A8BD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C68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4AF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24811"/>
    <w:multiLevelType w:val="hybridMultilevel"/>
    <w:tmpl w:val="EF18151C"/>
    <w:lvl w:ilvl="0" w:tplc="1FF666F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86D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21B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64CA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7562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0C7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827D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669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E26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00EA0"/>
    <w:multiLevelType w:val="hybridMultilevel"/>
    <w:tmpl w:val="6A6AE7E4"/>
    <w:lvl w:ilvl="0" w:tplc="DD2C7AC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AD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074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00ED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B1EA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C0D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FA73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961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0AA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F1283"/>
    <w:multiLevelType w:val="hybridMultilevel"/>
    <w:tmpl w:val="CA56DCD2"/>
    <w:lvl w:ilvl="0" w:tplc="E860534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442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482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EF1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243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408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3A4F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5C6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A43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E706B"/>
    <w:multiLevelType w:val="hybridMultilevel"/>
    <w:tmpl w:val="25FEED70"/>
    <w:lvl w:ilvl="0" w:tplc="8156379E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D60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82D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26BA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DA8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0C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A6CB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C543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49E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568D0"/>
    <w:multiLevelType w:val="hybridMultilevel"/>
    <w:tmpl w:val="26223AD0"/>
    <w:lvl w:ilvl="0" w:tplc="B5061AA2">
      <w:start w:val="1"/>
      <w:numFmt w:val="lowerLetter"/>
      <w:lvlText w:val="%1."/>
      <w:lvlJc w:val="left"/>
      <w:pPr>
        <w:tabs>
          <w:tab w:val="num" w:pos="-402"/>
        </w:tabs>
        <w:ind w:left="-402" w:hanging="360"/>
      </w:pPr>
    </w:lvl>
    <w:lvl w:ilvl="1" w:tplc="199861E6" w:tentative="1">
      <w:start w:val="1"/>
      <w:numFmt w:val="lowerLetter"/>
      <w:lvlText w:val="%2."/>
      <w:lvlJc w:val="left"/>
      <w:pPr>
        <w:tabs>
          <w:tab w:val="num" w:pos="318"/>
        </w:tabs>
        <w:ind w:left="318" w:hanging="360"/>
      </w:pPr>
    </w:lvl>
    <w:lvl w:ilvl="2" w:tplc="3E4A28C4" w:tentative="1">
      <w:start w:val="1"/>
      <w:numFmt w:val="lowerLetter"/>
      <w:lvlText w:val="%3."/>
      <w:lvlJc w:val="left"/>
      <w:pPr>
        <w:tabs>
          <w:tab w:val="num" w:pos="1038"/>
        </w:tabs>
        <w:ind w:left="1038" w:hanging="360"/>
      </w:pPr>
    </w:lvl>
    <w:lvl w:ilvl="3" w:tplc="3C3E7BAC" w:tentative="1">
      <w:start w:val="1"/>
      <w:numFmt w:val="lowerLetter"/>
      <w:lvlText w:val="%4."/>
      <w:lvlJc w:val="left"/>
      <w:pPr>
        <w:tabs>
          <w:tab w:val="num" w:pos="1758"/>
        </w:tabs>
        <w:ind w:left="1758" w:hanging="360"/>
      </w:pPr>
    </w:lvl>
    <w:lvl w:ilvl="4" w:tplc="EDCAE564" w:tentative="1">
      <w:start w:val="1"/>
      <w:numFmt w:val="lowerLetter"/>
      <w:lvlText w:val="%5."/>
      <w:lvlJc w:val="left"/>
      <w:pPr>
        <w:tabs>
          <w:tab w:val="num" w:pos="2478"/>
        </w:tabs>
        <w:ind w:left="2478" w:hanging="360"/>
      </w:pPr>
    </w:lvl>
    <w:lvl w:ilvl="5" w:tplc="E67CE994" w:tentative="1">
      <w:start w:val="1"/>
      <w:numFmt w:val="lowerLetter"/>
      <w:lvlText w:val="%6."/>
      <w:lvlJc w:val="left"/>
      <w:pPr>
        <w:tabs>
          <w:tab w:val="num" w:pos="3198"/>
        </w:tabs>
        <w:ind w:left="3198" w:hanging="360"/>
      </w:pPr>
    </w:lvl>
    <w:lvl w:ilvl="6" w:tplc="6C08EA94" w:tentative="1">
      <w:start w:val="1"/>
      <w:numFmt w:val="lowerLetter"/>
      <w:lvlText w:val="%7."/>
      <w:lvlJc w:val="left"/>
      <w:pPr>
        <w:tabs>
          <w:tab w:val="num" w:pos="3918"/>
        </w:tabs>
        <w:ind w:left="3918" w:hanging="360"/>
      </w:pPr>
    </w:lvl>
    <w:lvl w:ilvl="7" w:tplc="D8221750" w:tentative="1">
      <w:start w:val="1"/>
      <w:numFmt w:val="lowerLetter"/>
      <w:lvlText w:val="%8."/>
      <w:lvlJc w:val="left"/>
      <w:pPr>
        <w:tabs>
          <w:tab w:val="num" w:pos="4638"/>
        </w:tabs>
        <w:ind w:left="4638" w:hanging="360"/>
      </w:pPr>
    </w:lvl>
    <w:lvl w:ilvl="8" w:tplc="DBCA6F64" w:tentative="1">
      <w:start w:val="1"/>
      <w:numFmt w:val="lowerLetter"/>
      <w:lvlText w:val="%9."/>
      <w:lvlJc w:val="left"/>
      <w:pPr>
        <w:tabs>
          <w:tab w:val="num" w:pos="5358"/>
        </w:tabs>
        <w:ind w:left="5358" w:hanging="360"/>
      </w:pPr>
    </w:lvl>
  </w:abstractNum>
  <w:abstractNum w:abstractNumId="14">
    <w:nsid w:val="492E21F8"/>
    <w:multiLevelType w:val="hybridMultilevel"/>
    <w:tmpl w:val="B324220E"/>
    <w:lvl w:ilvl="0" w:tplc="CB1EB7C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BAC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C77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3C22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2103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C11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0496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288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66BA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71E10"/>
    <w:multiLevelType w:val="hybridMultilevel"/>
    <w:tmpl w:val="F9306CF4"/>
    <w:lvl w:ilvl="0" w:tplc="34C619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509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4FA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F657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D4B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6BE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5252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B0B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EC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D42C7"/>
    <w:multiLevelType w:val="hybridMultilevel"/>
    <w:tmpl w:val="FE78F1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416A"/>
    <w:multiLevelType w:val="hybridMultilevel"/>
    <w:tmpl w:val="5E6EFC12"/>
    <w:lvl w:ilvl="0" w:tplc="FA16AA48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D2D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ACC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1F681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A68D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E29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8A30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AC5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EA6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840AE"/>
    <w:multiLevelType w:val="hybridMultilevel"/>
    <w:tmpl w:val="26223AD0"/>
    <w:lvl w:ilvl="0" w:tplc="B5061AA2">
      <w:start w:val="1"/>
      <w:numFmt w:val="lowerLetter"/>
      <w:lvlText w:val="%1."/>
      <w:lvlJc w:val="left"/>
      <w:pPr>
        <w:tabs>
          <w:tab w:val="num" w:pos="-402"/>
        </w:tabs>
        <w:ind w:left="-402" w:hanging="360"/>
      </w:pPr>
    </w:lvl>
    <w:lvl w:ilvl="1" w:tplc="199861E6" w:tentative="1">
      <w:start w:val="1"/>
      <w:numFmt w:val="lowerLetter"/>
      <w:lvlText w:val="%2."/>
      <w:lvlJc w:val="left"/>
      <w:pPr>
        <w:tabs>
          <w:tab w:val="num" w:pos="318"/>
        </w:tabs>
        <w:ind w:left="318" w:hanging="360"/>
      </w:pPr>
    </w:lvl>
    <w:lvl w:ilvl="2" w:tplc="3E4A28C4" w:tentative="1">
      <w:start w:val="1"/>
      <w:numFmt w:val="lowerLetter"/>
      <w:lvlText w:val="%3."/>
      <w:lvlJc w:val="left"/>
      <w:pPr>
        <w:tabs>
          <w:tab w:val="num" w:pos="1038"/>
        </w:tabs>
        <w:ind w:left="1038" w:hanging="360"/>
      </w:pPr>
    </w:lvl>
    <w:lvl w:ilvl="3" w:tplc="3C3E7BAC" w:tentative="1">
      <w:start w:val="1"/>
      <w:numFmt w:val="lowerLetter"/>
      <w:lvlText w:val="%4."/>
      <w:lvlJc w:val="left"/>
      <w:pPr>
        <w:tabs>
          <w:tab w:val="num" w:pos="1758"/>
        </w:tabs>
        <w:ind w:left="1758" w:hanging="360"/>
      </w:pPr>
    </w:lvl>
    <w:lvl w:ilvl="4" w:tplc="EDCAE564" w:tentative="1">
      <w:start w:val="1"/>
      <w:numFmt w:val="lowerLetter"/>
      <w:lvlText w:val="%5."/>
      <w:lvlJc w:val="left"/>
      <w:pPr>
        <w:tabs>
          <w:tab w:val="num" w:pos="2478"/>
        </w:tabs>
        <w:ind w:left="2478" w:hanging="360"/>
      </w:pPr>
    </w:lvl>
    <w:lvl w:ilvl="5" w:tplc="E67CE994" w:tentative="1">
      <w:start w:val="1"/>
      <w:numFmt w:val="lowerLetter"/>
      <w:lvlText w:val="%6."/>
      <w:lvlJc w:val="left"/>
      <w:pPr>
        <w:tabs>
          <w:tab w:val="num" w:pos="3198"/>
        </w:tabs>
        <w:ind w:left="3198" w:hanging="360"/>
      </w:pPr>
    </w:lvl>
    <w:lvl w:ilvl="6" w:tplc="6C08EA94" w:tentative="1">
      <w:start w:val="1"/>
      <w:numFmt w:val="lowerLetter"/>
      <w:lvlText w:val="%7."/>
      <w:lvlJc w:val="left"/>
      <w:pPr>
        <w:tabs>
          <w:tab w:val="num" w:pos="3918"/>
        </w:tabs>
        <w:ind w:left="3918" w:hanging="360"/>
      </w:pPr>
    </w:lvl>
    <w:lvl w:ilvl="7" w:tplc="D8221750" w:tentative="1">
      <w:start w:val="1"/>
      <w:numFmt w:val="lowerLetter"/>
      <w:lvlText w:val="%8."/>
      <w:lvlJc w:val="left"/>
      <w:pPr>
        <w:tabs>
          <w:tab w:val="num" w:pos="4638"/>
        </w:tabs>
        <w:ind w:left="4638" w:hanging="360"/>
      </w:pPr>
    </w:lvl>
    <w:lvl w:ilvl="8" w:tplc="DBCA6F64" w:tentative="1">
      <w:start w:val="1"/>
      <w:numFmt w:val="lowerLetter"/>
      <w:lvlText w:val="%9."/>
      <w:lvlJc w:val="left"/>
      <w:pPr>
        <w:tabs>
          <w:tab w:val="num" w:pos="5358"/>
        </w:tabs>
        <w:ind w:left="5358" w:hanging="360"/>
      </w:pPr>
    </w:lvl>
  </w:abstractNum>
  <w:abstractNum w:abstractNumId="19">
    <w:nsid w:val="62C275A1"/>
    <w:multiLevelType w:val="hybridMultilevel"/>
    <w:tmpl w:val="DB8C4274"/>
    <w:lvl w:ilvl="0" w:tplc="ADB43DD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000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8E5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064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C61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09E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5D0C3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702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61AE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A57F3"/>
    <w:multiLevelType w:val="hybridMultilevel"/>
    <w:tmpl w:val="83C6DD78"/>
    <w:lvl w:ilvl="0" w:tplc="06E836C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AA8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617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36EF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6AE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CB6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E6AC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FAA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645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24355"/>
    <w:multiLevelType w:val="hybridMultilevel"/>
    <w:tmpl w:val="B3E6F8D8"/>
    <w:lvl w:ilvl="0" w:tplc="41967F58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FCC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E59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D833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A8D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6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1ED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C163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43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C4B43"/>
    <w:multiLevelType w:val="hybridMultilevel"/>
    <w:tmpl w:val="1D165B50"/>
    <w:lvl w:ilvl="0" w:tplc="6FA451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7AF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2FB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845B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E44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E48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FE6DC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5E2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683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67DB5"/>
    <w:multiLevelType w:val="hybridMultilevel"/>
    <w:tmpl w:val="BA944ECA"/>
    <w:lvl w:ilvl="0" w:tplc="13E6AE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7E5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0B3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E45B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020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0A0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E250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8C7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AE9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E462C"/>
    <w:multiLevelType w:val="hybridMultilevel"/>
    <w:tmpl w:val="843E9D42"/>
    <w:lvl w:ilvl="0" w:tplc="713460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8E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8A4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96EE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C06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867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207B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8A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C24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9"/>
  </w:num>
  <w:num w:numId="8">
    <w:abstractNumId w:val="5"/>
  </w:num>
  <w:num w:numId="9">
    <w:abstractNumId w:val="8"/>
  </w:num>
  <w:num w:numId="10">
    <w:abstractNumId w:val="3"/>
  </w:num>
  <w:num w:numId="11">
    <w:abstractNumId w:val="17"/>
  </w:num>
  <w:num w:numId="12">
    <w:abstractNumId w:val="21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  <w:num w:numId="17">
    <w:abstractNumId w:val="7"/>
  </w:num>
  <w:num w:numId="18">
    <w:abstractNumId w:val="11"/>
  </w:num>
  <w:num w:numId="19">
    <w:abstractNumId w:val="14"/>
  </w:num>
  <w:num w:numId="20">
    <w:abstractNumId w:val="12"/>
  </w:num>
  <w:num w:numId="21">
    <w:abstractNumId w:val="13"/>
  </w:num>
  <w:num w:numId="22">
    <w:abstractNumId w:val="2"/>
  </w:num>
  <w:num w:numId="23">
    <w:abstractNumId w:val="2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7B"/>
    <w:rsid w:val="00184083"/>
    <w:rsid w:val="00E001E3"/>
    <w:rsid w:val="00E1247B"/>
    <w:rsid w:val="00E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74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30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75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5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48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9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3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03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70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6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1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42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58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75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5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96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53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2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2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26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4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8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50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5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3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2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84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9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6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7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69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1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23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6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49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75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29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73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43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6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40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24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69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43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Gardiner</dc:creator>
  <cp:lastModifiedBy>Lorna Gardiner</cp:lastModifiedBy>
  <cp:revision>2</cp:revision>
  <dcterms:created xsi:type="dcterms:W3CDTF">2012-10-18T17:35:00Z</dcterms:created>
  <dcterms:modified xsi:type="dcterms:W3CDTF">2012-10-18T17:56:00Z</dcterms:modified>
</cp:coreProperties>
</file>